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colors4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charts/style4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eastAsia="方正小标宋_GBK"/>
          <w:b/>
          <w:bCs/>
          <w:color w:val="333333"/>
          <w:kern w:val="0"/>
          <w:sz w:val="44"/>
          <w:szCs w:val="44"/>
        </w:rPr>
      </w:pPr>
      <w:r>
        <w:rPr>
          <w:rFonts w:eastAsia="方正小标宋_GBK"/>
          <w:b/>
          <w:bCs/>
          <w:color w:val="333333"/>
          <w:kern w:val="0"/>
          <w:sz w:val="44"/>
          <w:szCs w:val="44"/>
        </w:rPr>
        <w:t>余姚市自然资源和规划局</w:t>
      </w:r>
    </w:p>
    <w:p>
      <w:pPr>
        <w:widowControl/>
        <w:jc w:val="center"/>
        <w:rPr>
          <w:rFonts w:eastAsia="方正小标宋_GBK"/>
          <w:b/>
          <w:bCs/>
          <w:color w:val="333333"/>
          <w:kern w:val="0"/>
          <w:sz w:val="44"/>
          <w:szCs w:val="44"/>
        </w:rPr>
      </w:pPr>
      <w:r>
        <w:rPr>
          <w:rFonts w:eastAsia="方正小标宋_GBK"/>
          <w:b/>
          <w:bCs/>
          <w:color w:val="333333"/>
          <w:kern w:val="0"/>
          <w:sz w:val="44"/>
          <w:szCs w:val="44"/>
        </w:rPr>
        <w:t>政府信息公开工作年度报告</w:t>
      </w:r>
    </w:p>
    <w:p>
      <w:pPr>
        <w:widowControl/>
        <w:jc w:val="center"/>
        <w:rPr>
          <w:color w:val="333333"/>
          <w:kern w:val="0"/>
          <w:sz w:val="28"/>
          <w:szCs w:val="28"/>
        </w:rPr>
      </w:pPr>
      <w:r>
        <w:rPr>
          <w:b/>
          <w:bCs/>
          <w:color w:val="333333"/>
          <w:kern w:val="0"/>
          <w:sz w:val="28"/>
          <w:szCs w:val="28"/>
        </w:rPr>
        <w:t>（20</w:t>
      </w:r>
      <w:r>
        <w:rPr>
          <w:rFonts w:hint="eastAsia"/>
          <w:b/>
          <w:bCs/>
          <w:color w:val="333333"/>
          <w:kern w:val="0"/>
          <w:sz w:val="28"/>
          <w:szCs w:val="28"/>
          <w:lang w:val="en-US" w:eastAsia="zh-CN"/>
        </w:rPr>
        <w:t>21</w:t>
      </w:r>
      <w:r>
        <w:rPr>
          <w:b/>
          <w:bCs/>
          <w:color w:val="333333"/>
          <w:kern w:val="0"/>
          <w:sz w:val="28"/>
          <w:szCs w:val="28"/>
        </w:rPr>
        <w:t>年度）</w:t>
      </w:r>
    </w:p>
    <w:p>
      <w:pPr>
        <w:widowControl/>
        <w:ind w:firstLine="480"/>
        <w:rPr>
          <w:color w:val="333333"/>
          <w:kern w:val="0"/>
          <w:sz w:val="24"/>
        </w:rPr>
      </w:pPr>
    </w:p>
    <w:p>
      <w:pPr>
        <w:widowControl/>
        <w:ind w:firstLine="480"/>
        <w:rPr>
          <w:rFonts w:eastAsia="黑体"/>
          <w:color w:val="333333"/>
          <w:kern w:val="0"/>
          <w:sz w:val="32"/>
          <w:szCs w:val="32"/>
        </w:rPr>
      </w:pPr>
      <w:r>
        <w:rPr>
          <w:rFonts w:eastAsia="黑体"/>
          <w:b/>
          <w:bCs/>
          <w:color w:val="333333"/>
          <w:kern w:val="0"/>
          <w:sz w:val="32"/>
          <w:szCs w:val="32"/>
        </w:rPr>
        <w:t>一、总体情况</w:t>
      </w:r>
    </w:p>
    <w:p>
      <w:pPr>
        <w:widowControl/>
        <w:spacing w:after="240"/>
        <w:ind w:firstLine="480"/>
        <w:rPr>
          <w:rFonts w:eastAsia="仿宋_GB2312"/>
          <w:color w:val="333333"/>
          <w:kern w:val="0"/>
          <w:sz w:val="32"/>
          <w:szCs w:val="32"/>
        </w:rPr>
      </w:pPr>
      <w:r>
        <w:rPr>
          <w:rFonts w:eastAsia="仿宋_GB2312"/>
          <w:color w:val="333333"/>
          <w:kern w:val="0"/>
          <w:sz w:val="32"/>
          <w:szCs w:val="32"/>
        </w:rPr>
        <w:t>按照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上级政府信息公开的有关</w:t>
      </w:r>
      <w:r>
        <w:rPr>
          <w:rFonts w:eastAsia="仿宋_GB2312"/>
          <w:color w:val="333333"/>
          <w:kern w:val="0"/>
          <w:sz w:val="32"/>
          <w:szCs w:val="32"/>
        </w:rPr>
        <w:t>要求，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本机关今年</w:t>
      </w:r>
      <w:r>
        <w:rPr>
          <w:rFonts w:eastAsia="仿宋_GB2312"/>
          <w:color w:val="333333"/>
          <w:kern w:val="0"/>
          <w:sz w:val="32"/>
          <w:szCs w:val="32"/>
        </w:rPr>
        <w:t>积极推进政府政务信息公开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，</w:t>
      </w:r>
      <w:r>
        <w:rPr>
          <w:rFonts w:eastAsia="仿宋_GB2312"/>
          <w:color w:val="333333"/>
          <w:kern w:val="0"/>
          <w:sz w:val="32"/>
          <w:szCs w:val="32"/>
        </w:rPr>
        <w:t>认真完成本年度的信息公开工作。本报告主要包括主动公开、依申请公开、政府信息管理、平台建设、监督保障等情况，所列数据的统计期限自20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21</w:t>
      </w:r>
      <w:r>
        <w:rPr>
          <w:rFonts w:eastAsia="仿宋_GB2312"/>
          <w:color w:val="333333"/>
          <w:kern w:val="0"/>
          <w:sz w:val="32"/>
          <w:szCs w:val="32"/>
        </w:rPr>
        <w:t>年1月1日起至20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21</w:t>
      </w:r>
      <w:r>
        <w:rPr>
          <w:rFonts w:eastAsia="仿宋_GB2312"/>
          <w:color w:val="333333"/>
          <w:kern w:val="0"/>
          <w:sz w:val="32"/>
          <w:szCs w:val="32"/>
        </w:rPr>
        <w:t>年12月31日止，现汇报如下：</w:t>
      </w:r>
    </w:p>
    <w:p>
      <w:pPr>
        <w:widowControl/>
        <w:spacing w:after="240"/>
        <w:ind w:firstLine="643" w:firstLineChars="200"/>
        <w:rPr>
          <w:rFonts w:eastAsia="楷体_GB2312"/>
          <w:b/>
          <w:bCs/>
          <w:color w:val="333333"/>
          <w:kern w:val="0"/>
          <w:sz w:val="32"/>
          <w:szCs w:val="32"/>
        </w:rPr>
      </w:pPr>
      <w:r>
        <w:rPr>
          <w:rFonts w:eastAsia="楷体_GB2312"/>
          <w:b/>
          <w:bCs/>
          <w:color w:val="333333"/>
          <w:kern w:val="0"/>
          <w:sz w:val="32"/>
          <w:szCs w:val="32"/>
        </w:rPr>
        <w:t>（一）政府信息主动公开方面</w:t>
      </w:r>
    </w:p>
    <w:p>
      <w:pPr>
        <w:widowControl/>
        <w:spacing w:after="240"/>
        <w:ind w:firstLine="643" w:firstLineChars="200"/>
        <w:rPr>
          <w:rFonts w:hint="eastAsia" w:eastAsia="仿宋_GB2312"/>
          <w:sz w:val="32"/>
          <w:szCs w:val="32"/>
          <w:highlight w:val="none"/>
          <w:lang w:eastAsia="zh-CN"/>
        </w:rPr>
      </w:pPr>
      <w:r>
        <w:rPr>
          <w:rFonts w:eastAsia="仿宋_GB2312"/>
          <w:b/>
          <w:bCs/>
          <w:color w:val="333333"/>
          <w:kern w:val="0"/>
          <w:sz w:val="32"/>
          <w:szCs w:val="32"/>
        </w:rPr>
        <w:t>一是</w:t>
      </w:r>
      <w:r>
        <w:rPr>
          <w:rFonts w:hint="eastAsia" w:eastAsia="仿宋_GB2312"/>
          <w:b/>
          <w:bCs/>
          <w:color w:val="333333"/>
          <w:kern w:val="0"/>
          <w:sz w:val="32"/>
          <w:szCs w:val="32"/>
          <w:lang w:val="en-US" w:eastAsia="zh-CN"/>
        </w:rPr>
        <w:t>规范制度设计，促进常态化公开。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一方面成立</w:t>
      </w:r>
      <w:r>
        <w:rPr>
          <w:rFonts w:eastAsia="仿宋_GB2312"/>
          <w:color w:val="333333"/>
          <w:kern w:val="0"/>
          <w:sz w:val="32"/>
          <w:szCs w:val="32"/>
        </w:rPr>
        <w:t>政府信息公开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领导</w:t>
      </w:r>
      <w:r>
        <w:rPr>
          <w:rFonts w:eastAsia="仿宋_GB2312"/>
          <w:color w:val="333333"/>
          <w:kern w:val="0"/>
          <w:sz w:val="32"/>
          <w:szCs w:val="32"/>
        </w:rPr>
        <w:t>小组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，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以</w:t>
      </w:r>
      <w:r>
        <w:rPr>
          <w:rFonts w:eastAsia="仿宋_GB2312"/>
          <w:color w:val="333333"/>
          <w:kern w:val="0"/>
          <w:sz w:val="32"/>
          <w:szCs w:val="32"/>
        </w:rPr>
        <w:t>各成员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领导职责</w:t>
      </w:r>
      <w:r>
        <w:rPr>
          <w:rFonts w:eastAsia="仿宋_GB2312"/>
          <w:color w:val="333333"/>
          <w:kern w:val="0"/>
          <w:sz w:val="32"/>
          <w:szCs w:val="32"/>
        </w:rPr>
        <w:t>为依托，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领导带头推进政府信息公开工作；另一方面，在充分调查的基础上制定《余姚市自然资源和规划局政府信息主动公开办法》，对主动公开的内容、事项、清单都有明确规定，促进政府信息公开常态化。</w:t>
      </w:r>
      <w:r>
        <w:rPr>
          <w:rFonts w:hint="eastAsia" w:eastAsia="仿宋_GB2312"/>
          <w:sz w:val="32"/>
          <w:szCs w:val="32"/>
          <w:highlight w:val="none"/>
        </w:rPr>
        <w:t>2021年度，我局网站上主动公开总数1895条，其中公开征地公告信息96条，建设工程设计方案公示455条，建设工程规划许可证316条。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此外，</w:t>
      </w:r>
      <w:r>
        <w:rPr>
          <w:rFonts w:hint="eastAsia" w:eastAsia="仿宋_GB2312"/>
          <w:sz w:val="32"/>
          <w:szCs w:val="32"/>
          <w:highlight w:val="none"/>
        </w:rPr>
        <w:t>不动产登记公告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信息公开</w:t>
      </w:r>
      <w:r>
        <w:rPr>
          <w:rFonts w:hint="eastAsia" w:eastAsia="仿宋_GB2312"/>
          <w:sz w:val="32"/>
          <w:szCs w:val="32"/>
          <w:highlight w:val="none"/>
        </w:rPr>
        <w:t>1533条。</w:t>
      </w:r>
    </w:p>
    <w:p>
      <w:pPr>
        <w:pStyle w:val="2"/>
        <w:jc w:val="center"/>
        <w:rPr>
          <w:rFonts w:hint="eastAsia" w:eastAsia="仿宋_GB2312"/>
          <w:sz w:val="32"/>
          <w:szCs w:val="32"/>
          <w:highlight w:val="none"/>
          <w:lang w:eastAsia="zh-CN"/>
        </w:rPr>
      </w:pPr>
      <w:r>
        <w:drawing>
          <wp:inline distT="0" distB="0" distL="114300" distR="114300">
            <wp:extent cx="4417060" cy="2092325"/>
            <wp:effectExtent l="0" t="0" r="254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l="-590" t="814" r="590" b="43986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sz w:val="32"/>
          <w:szCs w:val="32"/>
          <w:highlight w:val="none"/>
          <w:lang w:eastAsia="zh-CN"/>
        </w:rPr>
      </w:pPr>
      <w:r>
        <w:rPr>
          <w:rFonts w:hint="eastAsia" w:hAnsi="宋体" w:cs="宋体"/>
          <w:sz w:val="24"/>
          <w:szCs w:val="24"/>
          <w:lang w:val="en-US" w:eastAsia="zh-CN"/>
        </w:rPr>
        <w:t>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"http://www.yy.gov.cn/col/col1229454674/index.html"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8"/>
          <w:rFonts w:ascii="宋体" w:hAnsi="宋体" w:eastAsia="宋体" w:cs="宋体"/>
          <w:sz w:val="24"/>
          <w:szCs w:val="24"/>
        </w:rPr>
        <w:t>http://www.yy.gov.cn/col/col1229454674/index.html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ind w:firstLine="643" w:firstLineChars="200"/>
        <w:rPr>
          <w:rFonts w:eastAsia="仿宋_GB2312"/>
          <w:color w:val="333333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color w:val="333333"/>
          <w:kern w:val="0"/>
          <w:sz w:val="32"/>
          <w:szCs w:val="32"/>
          <w:lang w:val="en-US" w:eastAsia="zh-CN"/>
        </w:rPr>
        <w:t>二是梳理服务事项，推动便民化服务。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通过浙里办政府服务平台，主动梳理并公开资规局审批业务的办理事项。2021年</w:t>
      </w:r>
      <w:r>
        <w:rPr>
          <w:rFonts w:hint="eastAsia" w:eastAsia="仿宋_GB2312"/>
          <w:sz w:val="32"/>
          <w:szCs w:val="32"/>
        </w:rPr>
        <w:t>，</w:t>
      </w:r>
      <w:r>
        <w:rPr>
          <w:rFonts w:eastAsia="仿宋_GB2312"/>
          <w:sz w:val="32"/>
          <w:szCs w:val="32"/>
          <w:highlight w:val="none"/>
        </w:rPr>
        <w:t>已在浙江政务服务网上主动公开政府</w:t>
      </w:r>
      <w:r>
        <w:rPr>
          <w:rFonts w:hint="eastAsia" w:eastAsia="仿宋_GB2312"/>
          <w:sz w:val="32"/>
          <w:szCs w:val="32"/>
          <w:highlight w:val="none"/>
        </w:rPr>
        <w:t>权责</w:t>
      </w:r>
      <w:r>
        <w:rPr>
          <w:rFonts w:eastAsia="仿宋_GB2312"/>
          <w:sz w:val="32"/>
          <w:szCs w:val="32"/>
          <w:highlight w:val="none"/>
        </w:rPr>
        <w:t>清单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11大类共862子</w:t>
      </w:r>
      <w:r>
        <w:rPr>
          <w:rFonts w:hint="eastAsia" w:eastAsia="仿宋_GB2312"/>
          <w:sz w:val="32"/>
          <w:szCs w:val="32"/>
          <w:highlight w:val="none"/>
        </w:rPr>
        <w:t>项。按类型分类，行政处罚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318子</w:t>
      </w:r>
      <w:r>
        <w:rPr>
          <w:rFonts w:hint="eastAsia" w:eastAsia="仿宋_GB2312"/>
          <w:sz w:val="32"/>
          <w:szCs w:val="32"/>
          <w:highlight w:val="none"/>
        </w:rPr>
        <w:t>项、行政确认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6大</w:t>
      </w:r>
      <w:r>
        <w:rPr>
          <w:rFonts w:hint="eastAsia" w:eastAsia="仿宋_GB2312"/>
          <w:sz w:val="32"/>
          <w:szCs w:val="32"/>
          <w:highlight w:val="none"/>
        </w:rPr>
        <w:t>项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113子项</w:t>
      </w:r>
      <w:r>
        <w:rPr>
          <w:rFonts w:hint="eastAsia" w:eastAsia="仿宋_GB2312"/>
          <w:sz w:val="32"/>
          <w:szCs w:val="32"/>
          <w:highlight w:val="none"/>
        </w:rPr>
        <w:t>、行政许可事项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32大</w:t>
      </w:r>
      <w:r>
        <w:rPr>
          <w:rFonts w:hint="eastAsia" w:eastAsia="仿宋_GB2312"/>
          <w:sz w:val="32"/>
          <w:szCs w:val="32"/>
          <w:highlight w:val="none"/>
        </w:rPr>
        <w:t>项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56子项</w:t>
      </w:r>
      <w:r>
        <w:rPr>
          <w:rFonts w:hint="eastAsia" w:eastAsia="仿宋_GB2312"/>
          <w:sz w:val="32"/>
          <w:szCs w:val="32"/>
          <w:highlight w:val="none"/>
        </w:rPr>
        <w:t>、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行政给付1项、行政奖励7项、</w:t>
      </w:r>
      <w:r>
        <w:rPr>
          <w:rFonts w:hint="eastAsia" w:eastAsia="仿宋_GB2312"/>
          <w:sz w:val="32"/>
          <w:szCs w:val="32"/>
          <w:highlight w:val="none"/>
        </w:rPr>
        <w:t>行政征收事项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5</w:t>
      </w:r>
      <w:r>
        <w:rPr>
          <w:rFonts w:hint="eastAsia" w:eastAsia="仿宋_GB2312"/>
          <w:sz w:val="32"/>
          <w:szCs w:val="32"/>
          <w:highlight w:val="none"/>
        </w:rPr>
        <w:t>项</w:t>
      </w:r>
      <w:r>
        <w:rPr>
          <w:rFonts w:hint="eastAsia" w:eastAsia="仿宋_GB2312"/>
          <w:sz w:val="32"/>
          <w:szCs w:val="32"/>
          <w:highlight w:val="none"/>
          <w:lang w:eastAsia="zh-CN"/>
        </w:rPr>
        <w:t>、</w:t>
      </w:r>
      <w:r>
        <w:rPr>
          <w:rFonts w:hint="eastAsia" w:eastAsia="仿宋_GB2312"/>
          <w:sz w:val="32"/>
          <w:szCs w:val="32"/>
          <w:highlight w:val="none"/>
        </w:rPr>
        <w:t>联办事项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4大</w:t>
      </w:r>
      <w:r>
        <w:rPr>
          <w:rFonts w:hint="eastAsia" w:eastAsia="仿宋_GB2312"/>
          <w:sz w:val="32"/>
          <w:szCs w:val="32"/>
          <w:highlight w:val="none"/>
        </w:rPr>
        <w:t>项、公共服务事项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25大</w:t>
      </w:r>
      <w:r>
        <w:rPr>
          <w:rFonts w:hint="eastAsia" w:eastAsia="仿宋_GB2312"/>
          <w:sz w:val="32"/>
          <w:szCs w:val="32"/>
          <w:highlight w:val="none"/>
        </w:rPr>
        <w:t>项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36子项、</w:t>
      </w:r>
      <w:r>
        <w:rPr>
          <w:rFonts w:hint="eastAsia" w:eastAsia="仿宋_GB2312"/>
          <w:sz w:val="32"/>
          <w:szCs w:val="32"/>
          <w:highlight w:val="none"/>
        </w:rPr>
        <w:t>行政强制事项11项、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行政检查295子</w:t>
      </w:r>
      <w:r>
        <w:rPr>
          <w:rFonts w:hint="eastAsia" w:eastAsia="仿宋_GB2312"/>
          <w:sz w:val="32"/>
          <w:szCs w:val="32"/>
          <w:highlight w:val="none"/>
        </w:rPr>
        <w:t>项</w:t>
      </w:r>
      <w:r>
        <w:rPr>
          <w:rFonts w:hint="eastAsia" w:eastAsia="仿宋_GB2312"/>
          <w:sz w:val="32"/>
          <w:szCs w:val="32"/>
          <w:highlight w:val="none"/>
          <w:lang w:eastAsia="zh-CN"/>
        </w:rPr>
        <w:t>，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其它行政权力16大项</w:t>
      </w:r>
      <w:r>
        <w:rPr>
          <w:rFonts w:eastAsia="仿宋_GB2312"/>
          <w:color w:val="333333"/>
          <w:kern w:val="0"/>
          <w:sz w:val="32"/>
          <w:szCs w:val="32"/>
        </w:rPr>
        <w:t>。</w:t>
      </w:r>
    </w:p>
    <w:p>
      <w:pPr>
        <w:pStyle w:val="2"/>
        <w:jc w:val="center"/>
      </w:pPr>
      <w:r>
        <w:drawing>
          <wp:inline distT="0" distB="0" distL="114300" distR="114300">
            <wp:extent cx="4314825" cy="2915920"/>
            <wp:effectExtent l="4445" t="4445" r="8890" b="5715"/>
            <wp:docPr id="12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>
      <w:pPr>
        <w:pStyle w:val="2"/>
        <w:jc w:val="center"/>
      </w:pPr>
      <w:r>
        <w:drawing>
          <wp:inline distT="0" distB="0" distL="114300" distR="114300">
            <wp:extent cx="4174490" cy="2861310"/>
            <wp:effectExtent l="0" t="0" r="127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449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"https://www.zjzwfw.gov.cn/zjservice/dept/deptQueryPage.do?deptId=001008002007017&amp;webId=24" \l "page=1"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8"/>
          <w:rFonts w:hint="eastAsia"/>
          <w:lang w:val="en-US" w:eastAsia="zh-CN"/>
        </w:rPr>
        <w:t>https://www.zjzwfw.gov.cn/zjservice/dept/deptQueryPage.do?deptId=001008002007017&amp;webId=24#page=1</w:t>
      </w:r>
      <w:r>
        <w:rPr>
          <w:rFonts w:hint="eastAsia"/>
          <w:lang w:val="en-US" w:eastAsia="zh-CN"/>
        </w:rPr>
        <w:fldChar w:fldCharType="end"/>
      </w:r>
    </w:p>
    <w:p>
      <w:pPr>
        <w:widowControl/>
        <w:spacing w:after="240"/>
        <w:ind w:firstLine="321" w:firstLineChars="100"/>
        <w:rPr>
          <w:rFonts w:eastAsia="楷体_GB2312"/>
          <w:b/>
          <w:bCs/>
          <w:color w:val="333333"/>
          <w:kern w:val="0"/>
          <w:sz w:val="32"/>
          <w:szCs w:val="32"/>
        </w:rPr>
      </w:pPr>
      <w:r>
        <w:rPr>
          <w:rFonts w:eastAsia="楷体_GB2312"/>
          <w:b/>
          <w:bCs/>
          <w:color w:val="333333"/>
          <w:kern w:val="0"/>
          <w:sz w:val="32"/>
          <w:szCs w:val="32"/>
        </w:rPr>
        <w:t>（二）政府信息依申请公开方面</w:t>
      </w:r>
    </w:p>
    <w:p>
      <w:pPr>
        <w:widowControl/>
        <w:spacing w:after="240"/>
        <w:ind w:firstLine="643" w:firstLineChars="200"/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/>
          <w:color w:val="333333"/>
          <w:kern w:val="0"/>
          <w:sz w:val="32"/>
          <w:szCs w:val="32"/>
          <w:lang w:val="en-US" w:eastAsia="zh-CN"/>
        </w:rPr>
        <w:t>一是申请总数有所降低。</w:t>
      </w:r>
      <w:r>
        <w:rPr>
          <w:rFonts w:eastAsia="仿宋_GB2312"/>
          <w:color w:val="333333"/>
          <w:kern w:val="0"/>
          <w:sz w:val="32"/>
          <w:szCs w:val="32"/>
        </w:rPr>
        <w:t>20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21年度</w:t>
      </w:r>
      <w:r>
        <w:rPr>
          <w:rFonts w:eastAsia="仿宋_GB2312"/>
          <w:color w:val="333333"/>
          <w:kern w:val="0"/>
          <w:sz w:val="32"/>
          <w:szCs w:val="32"/>
        </w:rPr>
        <w:t>，我局依申请公开共接收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77</w:t>
      </w:r>
      <w:r>
        <w:rPr>
          <w:rFonts w:eastAsia="仿宋_GB2312"/>
          <w:color w:val="333333"/>
          <w:kern w:val="0"/>
          <w:sz w:val="32"/>
          <w:szCs w:val="32"/>
        </w:rPr>
        <w:t>份，同比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减少35.8</w:t>
      </w:r>
      <w:r>
        <w:rPr>
          <w:rFonts w:eastAsia="仿宋_GB2312"/>
          <w:color w:val="333333"/>
          <w:kern w:val="0"/>
          <w:sz w:val="32"/>
          <w:szCs w:val="32"/>
        </w:rPr>
        <w:t>%。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在按照已</w:t>
      </w:r>
      <w:r>
        <w:rPr>
          <w:rFonts w:eastAsia="仿宋_GB2312"/>
          <w:color w:val="333333"/>
          <w:kern w:val="0"/>
          <w:sz w:val="32"/>
          <w:szCs w:val="32"/>
        </w:rPr>
        <w:t>制定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的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《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余姚市自然资源和规划局政府信息依申请公开暂行办法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》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处理好政府信息依申请的收件、受理、办理等过程后，今年政府信息依申请公开总数明显有所降低，分析原因在于主动公开成效明显。如今年对征地方面信息、行政处罚决定等信息进行了规范化公示。</w:t>
      </w:r>
    </w:p>
    <w:p>
      <w:pPr>
        <w:pStyle w:val="2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471035" cy="2660650"/>
            <wp:effectExtent l="4445" t="4445" r="5080" b="17145"/>
            <wp:docPr id="3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>
      <w:pPr>
        <w:widowControl/>
        <w:spacing w:after="240"/>
        <w:ind w:firstLine="643" w:firstLineChars="200"/>
        <w:rPr>
          <w:rFonts w:eastAsia="仿宋_GB2312"/>
          <w:color w:val="333333"/>
          <w:kern w:val="0"/>
          <w:sz w:val="32"/>
          <w:szCs w:val="32"/>
        </w:rPr>
      </w:pPr>
      <w:r>
        <w:rPr>
          <w:rFonts w:hint="eastAsia" w:eastAsia="仿宋_GB2312"/>
          <w:b/>
          <w:bCs/>
          <w:color w:val="333333"/>
          <w:kern w:val="0"/>
          <w:sz w:val="32"/>
          <w:szCs w:val="32"/>
          <w:lang w:val="en-US" w:eastAsia="zh-CN"/>
        </w:rPr>
        <w:t>二是网络申请仍为主渠道。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网络申请以其申请的便捷性、抵达的准确性、回复的及时性受广大申请信息公开群众的青睐。2021年，</w:t>
      </w:r>
      <w:r>
        <w:rPr>
          <w:rFonts w:eastAsia="仿宋_GB2312"/>
          <w:color w:val="333333"/>
          <w:kern w:val="0"/>
          <w:sz w:val="32"/>
          <w:szCs w:val="32"/>
        </w:rPr>
        <w:t>网络申请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35</w:t>
      </w:r>
      <w:r>
        <w:rPr>
          <w:rFonts w:eastAsia="仿宋_GB2312"/>
          <w:color w:val="333333"/>
          <w:kern w:val="0"/>
          <w:sz w:val="32"/>
          <w:szCs w:val="32"/>
        </w:rPr>
        <w:t>份，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占全年总申请量的45.4</w:t>
      </w:r>
      <w:r>
        <w:rPr>
          <w:rFonts w:eastAsia="仿宋_GB2312"/>
          <w:color w:val="333333"/>
          <w:kern w:val="0"/>
          <w:sz w:val="32"/>
          <w:szCs w:val="32"/>
        </w:rPr>
        <w:t>%，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现场</w:t>
      </w:r>
      <w:r>
        <w:rPr>
          <w:rFonts w:eastAsia="仿宋_GB2312"/>
          <w:color w:val="333333"/>
          <w:kern w:val="0"/>
          <w:sz w:val="32"/>
          <w:szCs w:val="32"/>
        </w:rPr>
        <w:t>申请数量为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16</w:t>
      </w:r>
      <w:r>
        <w:rPr>
          <w:rFonts w:eastAsia="仿宋_GB2312"/>
          <w:color w:val="333333"/>
          <w:kern w:val="0"/>
          <w:sz w:val="32"/>
          <w:szCs w:val="32"/>
        </w:rPr>
        <w:t>份，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占全年总申请量20</w:t>
      </w:r>
      <w:r>
        <w:rPr>
          <w:rFonts w:eastAsia="仿宋_GB2312"/>
          <w:color w:val="333333"/>
          <w:kern w:val="0"/>
          <w:sz w:val="32"/>
          <w:szCs w:val="32"/>
        </w:rPr>
        <w:t>%。</w:t>
      </w:r>
    </w:p>
    <w:p>
      <w:pPr>
        <w:widowControl/>
        <w:spacing w:after="240"/>
        <w:jc w:val="center"/>
        <w:rPr>
          <w:rFonts w:eastAsia="仿宋_GB2312"/>
          <w:color w:val="333333"/>
          <w:kern w:val="0"/>
          <w:sz w:val="32"/>
          <w:szCs w:val="32"/>
        </w:rPr>
      </w:pPr>
      <w:r>
        <w:drawing>
          <wp:inline distT="0" distB="0" distL="114300" distR="114300">
            <wp:extent cx="4533900" cy="2629535"/>
            <wp:effectExtent l="4445" t="4445" r="18415" b="17780"/>
            <wp:docPr id="8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>
      <w:pPr>
        <w:widowControl/>
        <w:spacing w:after="240"/>
        <w:ind w:firstLine="643" w:firstLineChars="200"/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/>
          <w:color w:val="333333"/>
          <w:kern w:val="0"/>
          <w:sz w:val="32"/>
          <w:szCs w:val="32"/>
          <w:lang w:val="en-US" w:eastAsia="zh-CN"/>
        </w:rPr>
        <w:t>三是申请内容更加集中。</w:t>
      </w:r>
      <w:r>
        <w:rPr>
          <w:rFonts w:eastAsia="仿宋_GB2312"/>
          <w:color w:val="333333"/>
          <w:kern w:val="0"/>
          <w:sz w:val="32"/>
          <w:szCs w:val="32"/>
        </w:rPr>
        <w:t>主要集中在规划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类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（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30件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）、</w:t>
      </w:r>
      <w:r>
        <w:rPr>
          <w:rFonts w:eastAsia="仿宋_GB2312"/>
          <w:color w:val="333333"/>
          <w:kern w:val="0"/>
          <w:sz w:val="32"/>
          <w:szCs w:val="32"/>
        </w:rPr>
        <w:t>行政处罚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（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4件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）</w:t>
      </w:r>
      <w:r>
        <w:rPr>
          <w:rFonts w:eastAsia="仿宋_GB2312"/>
          <w:color w:val="333333"/>
          <w:kern w:val="0"/>
          <w:sz w:val="32"/>
          <w:szCs w:val="32"/>
        </w:rPr>
        <w:t>、和征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收</w:t>
      </w:r>
      <w:r>
        <w:rPr>
          <w:rFonts w:eastAsia="仿宋_GB2312"/>
          <w:color w:val="333333"/>
          <w:kern w:val="0"/>
          <w:sz w:val="32"/>
          <w:szCs w:val="32"/>
        </w:rPr>
        <w:t>方面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（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10件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）</w:t>
      </w:r>
      <w:r>
        <w:rPr>
          <w:rFonts w:eastAsia="仿宋_GB2312"/>
          <w:color w:val="333333"/>
          <w:kern w:val="0"/>
          <w:sz w:val="32"/>
          <w:szCs w:val="32"/>
        </w:rPr>
        <w:t>，分别为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73</w:t>
      </w:r>
      <w:r>
        <w:rPr>
          <w:rFonts w:eastAsia="仿宋_GB2312"/>
          <w:color w:val="333333"/>
          <w:kern w:val="0"/>
          <w:sz w:val="32"/>
          <w:szCs w:val="32"/>
        </w:rPr>
        <w:t>件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、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13</w:t>
      </w:r>
      <w:r>
        <w:rPr>
          <w:rFonts w:eastAsia="仿宋_GB2312"/>
          <w:color w:val="333333"/>
          <w:kern w:val="0"/>
          <w:sz w:val="32"/>
          <w:szCs w:val="32"/>
        </w:rPr>
        <w:t>件、1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0</w:t>
      </w:r>
      <w:r>
        <w:rPr>
          <w:rFonts w:eastAsia="仿宋_GB2312"/>
          <w:color w:val="333333"/>
          <w:kern w:val="0"/>
          <w:sz w:val="32"/>
          <w:szCs w:val="32"/>
        </w:rPr>
        <w:t>件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，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分别同比减少59%、同比减少70%、同比减少0%</w:t>
      </w:r>
      <w:r>
        <w:rPr>
          <w:rFonts w:eastAsia="仿宋_GB2312"/>
          <w:color w:val="333333"/>
          <w:kern w:val="0"/>
          <w:sz w:val="32"/>
          <w:szCs w:val="32"/>
        </w:rPr>
        <w:t>。本年度因信息公开所引起的行政复议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0件</w:t>
      </w:r>
      <w:r>
        <w:rPr>
          <w:rFonts w:eastAsia="仿宋_GB2312"/>
          <w:color w:val="333333"/>
          <w:kern w:val="0"/>
          <w:sz w:val="32"/>
          <w:szCs w:val="32"/>
        </w:rPr>
        <w:t>，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行政诉讼1件。</w:t>
      </w:r>
    </w:p>
    <w:p>
      <w:pPr>
        <w:pStyle w:val="2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572000" cy="2743200"/>
            <wp:effectExtent l="4445" t="4445" r="10795" b="10795"/>
            <wp:docPr id="9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>
      <w:pPr>
        <w:pStyle w:val="2"/>
      </w:pPr>
    </w:p>
    <w:p>
      <w:pPr>
        <w:widowControl/>
        <w:spacing w:after="240"/>
        <w:ind w:firstLine="480"/>
        <w:rPr>
          <w:rFonts w:eastAsia="楷体_GB2312"/>
          <w:b/>
          <w:bCs/>
          <w:color w:val="333333"/>
          <w:kern w:val="0"/>
          <w:sz w:val="32"/>
          <w:szCs w:val="32"/>
        </w:rPr>
      </w:pPr>
      <w:r>
        <w:rPr>
          <w:rFonts w:eastAsia="楷体_GB2312"/>
          <w:b/>
          <w:bCs/>
          <w:color w:val="333333"/>
          <w:kern w:val="0"/>
          <w:sz w:val="32"/>
          <w:szCs w:val="32"/>
        </w:rPr>
        <w:t>（三）政府信息管理方面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eastAsia="仿宋_GB2312"/>
          <w:color w:val="333333"/>
          <w:kern w:val="0"/>
          <w:sz w:val="32"/>
          <w:szCs w:val="32"/>
        </w:rPr>
      </w:pPr>
      <w:r>
        <w:rPr>
          <w:rFonts w:hint="eastAsia" w:eastAsia="仿宋_GB2312"/>
          <w:b/>
          <w:bCs/>
          <w:color w:val="333333"/>
          <w:kern w:val="0"/>
          <w:sz w:val="32"/>
          <w:szCs w:val="32"/>
          <w:lang w:val="en-US" w:eastAsia="zh-CN"/>
        </w:rPr>
        <w:t>一是公开渠道多样化。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根据各科室业务的需要，我们有针对性的在宁波市自然资源和规划局网站，余姚市招投标网站、余姚日报、浙江省土地使用权网上交易系统网站、浙江省矿业权网上交易系统网站、浙江省征地信息公开平台等平台公开政府信息。并针对微博、微信平台的特点，我们采取多种排版、图文、视频等方式的展示宣传政府信息，让群众更易获知、更愿获知政府信息</w:t>
      </w:r>
      <w:r>
        <w:rPr>
          <w:rFonts w:eastAsia="仿宋_GB2312"/>
          <w:color w:val="333333"/>
          <w:kern w:val="0"/>
          <w:sz w:val="32"/>
          <w:szCs w:val="32"/>
        </w:rPr>
        <w:t>。</w:t>
      </w:r>
    </w:p>
    <w:p>
      <w:pPr>
        <w:widowControl/>
        <w:spacing w:after="240"/>
        <w:ind w:firstLine="643" w:firstLineChars="200"/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/>
          <w:color w:val="333333"/>
          <w:kern w:val="0"/>
          <w:sz w:val="32"/>
          <w:szCs w:val="32"/>
          <w:lang w:val="en-US" w:eastAsia="zh-CN"/>
        </w:rPr>
        <w:t>二是内容审核标准化。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按照梳理的公开目录，落实信息公开，及时、有效、准确的公开相关的政务信息，并对所有需公开的信息，开展公开前审查，通过局OA办公系统，对公开内容进行公开前审核备案。</w:t>
      </w:r>
    </w:p>
    <w:p>
      <w:pPr>
        <w:widowControl/>
        <w:spacing w:after="240"/>
        <w:ind w:firstLine="643" w:firstLineChars="200"/>
        <w:rPr>
          <w:rFonts w:hint="default"/>
          <w:b w:val="0"/>
          <w:bCs w:val="0"/>
          <w:lang w:val="en-US"/>
        </w:rPr>
      </w:pPr>
      <w:r>
        <w:rPr>
          <w:rFonts w:hint="eastAsia" w:eastAsia="仿宋_GB2312"/>
          <w:b/>
          <w:bCs/>
          <w:color w:val="333333"/>
          <w:kern w:val="0"/>
          <w:sz w:val="32"/>
          <w:szCs w:val="32"/>
          <w:lang w:val="en-US" w:eastAsia="zh-CN"/>
        </w:rPr>
        <w:t>三是信息公开常态化。</w:t>
      </w:r>
      <w:r>
        <w:rPr>
          <w:rFonts w:hint="eastAsia" w:eastAsia="仿宋_GB2312"/>
          <w:b w:val="0"/>
          <w:bCs w:val="0"/>
          <w:color w:val="333333"/>
          <w:kern w:val="0"/>
          <w:sz w:val="32"/>
          <w:szCs w:val="32"/>
          <w:lang w:val="en-US" w:eastAsia="zh-CN"/>
        </w:rPr>
        <w:t>坚持以“公开为常态，不公开为例外”的原则，坚持信息发布的常态化和及时、准确与规范，注重信息公开的全面性和时效性，推动做好局网站的常态化更新。</w:t>
      </w:r>
    </w:p>
    <w:p>
      <w:pPr>
        <w:widowControl/>
        <w:spacing w:after="240"/>
        <w:ind w:firstLine="643" w:firstLineChars="200"/>
        <w:rPr>
          <w:rFonts w:eastAsia="楷体_GB2312"/>
          <w:b/>
          <w:bCs/>
          <w:color w:val="333333"/>
          <w:kern w:val="0"/>
          <w:sz w:val="32"/>
          <w:szCs w:val="32"/>
        </w:rPr>
      </w:pPr>
      <w:r>
        <w:rPr>
          <w:rFonts w:eastAsia="楷体_GB2312"/>
          <w:b/>
          <w:bCs/>
          <w:color w:val="333333"/>
          <w:kern w:val="0"/>
          <w:sz w:val="32"/>
          <w:szCs w:val="32"/>
        </w:rPr>
        <w:t>（四）平台建设方面</w:t>
      </w:r>
    </w:p>
    <w:p>
      <w:pPr>
        <w:widowControl/>
        <w:spacing w:after="240"/>
        <w:ind w:firstLine="640" w:firstLineChars="200"/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</w:pPr>
      <w:r>
        <w:rPr>
          <w:rFonts w:eastAsia="仿宋_GB2312"/>
          <w:color w:val="333333"/>
          <w:kern w:val="0"/>
          <w:sz w:val="32"/>
          <w:szCs w:val="32"/>
        </w:rPr>
        <w:t>一方面，在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新媒体平台</w:t>
      </w:r>
      <w:r>
        <w:rPr>
          <w:rFonts w:eastAsia="仿宋_GB2312"/>
          <w:color w:val="333333"/>
          <w:kern w:val="0"/>
          <w:sz w:val="32"/>
          <w:szCs w:val="32"/>
        </w:rPr>
        <w:t>上开设政务微博账号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和微信公众号</w:t>
      </w:r>
      <w:r>
        <w:rPr>
          <w:rFonts w:eastAsia="仿宋_GB2312"/>
          <w:color w:val="333333"/>
          <w:kern w:val="0"/>
          <w:sz w:val="32"/>
          <w:szCs w:val="32"/>
        </w:rPr>
        <w:t>，推进政务在微博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和微信</w:t>
      </w:r>
      <w:r>
        <w:rPr>
          <w:rFonts w:eastAsia="仿宋_GB2312"/>
          <w:color w:val="333333"/>
          <w:kern w:val="0"/>
          <w:sz w:val="32"/>
          <w:szCs w:val="32"/>
        </w:rPr>
        <w:t>上及时有效的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公开</w:t>
      </w:r>
      <w:r>
        <w:rPr>
          <w:rFonts w:eastAsia="仿宋_GB2312"/>
          <w:color w:val="333333"/>
          <w:kern w:val="0"/>
          <w:sz w:val="32"/>
          <w:szCs w:val="32"/>
        </w:rPr>
        <w:t>。20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21</w:t>
      </w:r>
      <w:r>
        <w:rPr>
          <w:rFonts w:eastAsia="仿宋_GB2312"/>
          <w:color w:val="333333"/>
          <w:kern w:val="0"/>
          <w:sz w:val="32"/>
          <w:szCs w:val="32"/>
        </w:rPr>
        <w:t>年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全年</w:t>
      </w:r>
      <w:r>
        <w:rPr>
          <w:rFonts w:eastAsia="仿宋_GB2312"/>
          <w:color w:val="333333"/>
          <w:kern w:val="0"/>
          <w:sz w:val="32"/>
          <w:szCs w:val="32"/>
        </w:rPr>
        <w:t>，微博上更新内容条数位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92</w:t>
      </w:r>
      <w:r>
        <w:rPr>
          <w:rFonts w:eastAsia="仿宋_GB2312"/>
          <w:color w:val="333333"/>
          <w:kern w:val="0"/>
          <w:sz w:val="32"/>
          <w:szCs w:val="32"/>
        </w:rPr>
        <w:t>条，内容主要集中在国有土地使用权出让公告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、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成交公示</w:t>
      </w:r>
      <w:r>
        <w:rPr>
          <w:rFonts w:eastAsia="仿宋_GB2312"/>
          <w:color w:val="333333"/>
          <w:kern w:val="0"/>
          <w:sz w:val="32"/>
          <w:szCs w:val="32"/>
        </w:rPr>
        <w:t>、国土相关业务最新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进展</w:t>
      </w:r>
      <w:r>
        <w:rPr>
          <w:rFonts w:eastAsia="仿宋_GB2312"/>
          <w:color w:val="333333"/>
          <w:kern w:val="0"/>
          <w:sz w:val="32"/>
          <w:szCs w:val="32"/>
        </w:rPr>
        <w:t>等方面。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微信上发布382条，着重宣传最新自然资源和规划方面的政策、资规局工作动态和十九届六中全会精神等内容。</w:t>
      </w:r>
    </w:p>
    <w:p>
      <w:pPr>
        <w:widowControl/>
        <w:spacing w:after="240"/>
        <w:ind w:firstLine="640" w:firstLineChars="200"/>
        <w:rPr>
          <w:rFonts w:eastAsia="仿宋_GB2312"/>
          <w:color w:val="333333"/>
          <w:kern w:val="0"/>
          <w:sz w:val="32"/>
          <w:szCs w:val="32"/>
        </w:rPr>
      </w:pPr>
      <w:r>
        <w:rPr>
          <w:rFonts w:eastAsia="仿宋_GB2312"/>
          <w:color w:val="333333"/>
          <w:kern w:val="0"/>
          <w:sz w:val="32"/>
          <w:szCs w:val="32"/>
        </w:rPr>
        <w:t>另一方面，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优化局政府信息公开平台网站</w:t>
      </w:r>
      <w:r>
        <w:rPr>
          <w:rFonts w:eastAsia="仿宋_GB2312"/>
          <w:color w:val="333333"/>
          <w:kern w:val="0"/>
          <w:sz w:val="32"/>
          <w:szCs w:val="32"/>
        </w:rPr>
        <w:t>。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优化调整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“</w:t>
      </w:r>
      <w:r>
        <w:rPr>
          <w:rFonts w:eastAsia="仿宋_GB2312"/>
          <w:color w:val="333333"/>
          <w:kern w:val="0"/>
          <w:sz w:val="32"/>
          <w:szCs w:val="32"/>
        </w:rPr>
        <w:t>阳光矿政专栏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”“</w:t>
      </w:r>
      <w:r>
        <w:rPr>
          <w:rFonts w:eastAsia="仿宋_GB2312"/>
          <w:color w:val="333333"/>
          <w:kern w:val="0"/>
          <w:sz w:val="32"/>
          <w:szCs w:val="32"/>
        </w:rPr>
        <w:t>阳光规划专栏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”“</w:t>
      </w:r>
      <w:r>
        <w:rPr>
          <w:rFonts w:eastAsia="仿宋_GB2312"/>
          <w:color w:val="333333"/>
          <w:kern w:val="0"/>
          <w:sz w:val="32"/>
          <w:szCs w:val="32"/>
        </w:rPr>
        <w:t>不动产登记专栏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”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等专栏，</w:t>
      </w:r>
      <w:r>
        <w:rPr>
          <w:rFonts w:eastAsia="仿宋_GB2312"/>
          <w:color w:val="333333"/>
          <w:kern w:val="0"/>
          <w:sz w:val="32"/>
          <w:szCs w:val="32"/>
        </w:rPr>
        <w:t>各专栏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均</w:t>
      </w:r>
      <w:r>
        <w:rPr>
          <w:rFonts w:eastAsia="仿宋_GB2312"/>
          <w:color w:val="333333"/>
          <w:kern w:val="0"/>
          <w:sz w:val="32"/>
          <w:szCs w:val="32"/>
        </w:rPr>
        <w:t>以余姚市人民政府信息公开平台网站为依托，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推动</w:t>
      </w:r>
      <w:r>
        <w:rPr>
          <w:rFonts w:eastAsia="仿宋_GB2312"/>
          <w:color w:val="333333"/>
          <w:kern w:val="0"/>
          <w:sz w:val="32"/>
          <w:szCs w:val="32"/>
        </w:rPr>
        <w:t>征地拆迁、矿产出让、土地规划、不动产登记公告等信息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的</w:t>
      </w:r>
      <w:r>
        <w:rPr>
          <w:rFonts w:eastAsia="仿宋_GB2312"/>
          <w:color w:val="333333"/>
          <w:kern w:val="0"/>
          <w:sz w:val="32"/>
          <w:szCs w:val="32"/>
        </w:rPr>
        <w:t>及时公开。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同时也推进平台网站优化设计，在原有公开网站五个模块（政府信息公开指南、政府信息公开制度、法定主动公开内容、政府信息公开年报和申请公开政府信息）的基础上，对局部内容进行调整，达到政务信息获取方式和渠道更便捷的效果，促使群众及时参与政务互动，了解政府工作内容，更好的配合政府治理。</w:t>
      </w:r>
    </w:p>
    <w:p>
      <w:pPr>
        <w:widowControl/>
        <w:spacing w:after="240"/>
        <w:ind w:firstLine="643" w:firstLineChars="200"/>
        <w:rPr>
          <w:rFonts w:eastAsia="楷体_GB2312"/>
          <w:b/>
          <w:bCs/>
          <w:color w:val="333333"/>
          <w:kern w:val="0"/>
          <w:sz w:val="32"/>
          <w:szCs w:val="32"/>
        </w:rPr>
      </w:pPr>
      <w:r>
        <w:rPr>
          <w:rFonts w:eastAsia="楷体_GB2312"/>
          <w:b/>
          <w:bCs/>
          <w:color w:val="333333"/>
          <w:kern w:val="0"/>
          <w:sz w:val="32"/>
          <w:szCs w:val="32"/>
        </w:rPr>
        <w:t>（五）监督保障方面</w:t>
      </w:r>
    </w:p>
    <w:p>
      <w:pPr>
        <w:widowControl/>
        <w:spacing w:after="240"/>
        <w:ind w:firstLine="640" w:firstLineChars="200"/>
        <w:rPr>
          <w:rFonts w:eastAsia="仿宋_GB2312"/>
          <w:color w:val="333333"/>
          <w:kern w:val="0"/>
          <w:sz w:val="32"/>
          <w:szCs w:val="32"/>
        </w:rPr>
      </w:pPr>
      <w:r>
        <w:rPr>
          <w:rFonts w:eastAsia="仿宋_GB2312"/>
          <w:color w:val="333333"/>
          <w:kern w:val="0"/>
          <w:sz w:val="32"/>
          <w:szCs w:val="32"/>
        </w:rPr>
        <w:t>一是成立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“</w:t>
      </w:r>
      <w:r>
        <w:rPr>
          <w:rFonts w:eastAsia="仿宋_GB2312"/>
          <w:color w:val="333333"/>
          <w:kern w:val="0"/>
          <w:sz w:val="32"/>
          <w:szCs w:val="32"/>
        </w:rPr>
        <w:t>政府信息公开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工作</w:t>
      </w:r>
      <w:r>
        <w:rPr>
          <w:rFonts w:eastAsia="仿宋_GB2312"/>
          <w:color w:val="333333"/>
          <w:kern w:val="0"/>
          <w:sz w:val="32"/>
          <w:szCs w:val="32"/>
        </w:rPr>
        <w:t>领导小组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”</w:t>
      </w:r>
      <w:r>
        <w:rPr>
          <w:rFonts w:eastAsia="仿宋_GB2312"/>
          <w:color w:val="333333"/>
          <w:kern w:val="0"/>
          <w:sz w:val="32"/>
          <w:szCs w:val="32"/>
        </w:rPr>
        <w:t>，由主要领导担任组长，由分管领导担任副组长，各成员由自然资源和规划所、科室、局属事业单位负责人担任，明确成员的职责，落实信息公开。二是出台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《</w:t>
      </w:r>
      <w:r>
        <w:rPr>
          <w:rFonts w:eastAsia="仿宋_GB2312"/>
          <w:color w:val="333333"/>
          <w:kern w:val="0"/>
          <w:sz w:val="32"/>
          <w:szCs w:val="32"/>
        </w:rPr>
        <w:t>政府信息主动公开暂行办法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》</w:t>
      </w:r>
      <w:r>
        <w:rPr>
          <w:rFonts w:eastAsia="仿宋_GB2312"/>
          <w:color w:val="333333"/>
          <w:kern w:val="0"/>
          <w:sz w:val="32"/>
          <w:szCs w:val="32"/>
        </w:rPr>
        <w:t>和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《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政府信息</w:t>
      </w:r>
      <w:r>
        <w:rPr>
          <w:rFonts w:eastAsia="仿宋_GB2312"/>
          <w:color w:val="333333"/>
          <w:kern w:val="0"/>
          <w:sz w:val="32"/>
          <w:szCs w:val="32"/>
        </w:rPr>
        <w:t>依申请公开暂行办法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》</w:t>
      </w:r>
      <w:r>
        <w:rPr>
          <w:rFonts w:eastAsia="仿宋_GB2312"/>
          <w:color w:val="333333"/>
          <w:kern w:val="0"/>
          <w:sz w:val="32"/>
          <w:szCs w:val="32"/>
        </w:rPr>
        <w:t>，按照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“</w:t>
      </w:r>
      <w:r>
        <w:rPr>
          <w:rFonts w:eastAsia="仿宋_GB2312"/>
          <w:color w:val="333333"/>
          <w:kern w:val="0"/>
          <w:sz w:val="32"/>
          <w:szCs w:val="32"/>
        </w:rPr>
        <w:t>以公开为常态，以不公开为例外</w:t>
      </w:r>
      <w:r>
        <w:rPr>
          <w:rFonts w:hint="eastAsia" w:eastAsia="仿宋_GB2312"/>
          <w:color w:val="333333"/>
          <w:kern w:val="0"/>
          <w:sz w:val="32"/>
          <w:szCs w:val="32"/>
          <w:lang w:eastAsia="zh-CN"/>
        </w:rPr>
        <w:t>”</w:t>
      </w:r>
      <w:r>
        <w:rPr>
          <w:rFonts w:eastAsia="仿宋_GB2312"/>
          <w:color w:val="333333"/>
          <w:kern w:val="0"/>
          <w:sz w:val="32"/>
          <w:szCs w:val="32"/>
        </w:rPr>
        <w:t>的工作要求，以行政权力为重点，以政务公开为原则，以电子政务为载体，积极做好政府信息公开工作。三是制定政府信息公开保密审查制度和责任追究制度，在公开相关信息前，由科室负责人、分管领导对公开内容进行审核，防止涉密或敏感信息的违规发布。</w:t>
      </w:r>
    </w:p>
    <w:p>
      <w:pPr>
        <w:rPr>
          <w:color w:val="333333"/>
          <w:kern w:val="0"/>
          <w:sz w:val="24"/>
        </w:rPr>
      </w:pPr>
      <w:r>
        <w:rPr>
          <w:color w:val="333333"/>
          <w:kern w:val="0"/>
          <w:sz w:val="24"/>
        </w:rPr>
        <w:br w:type="page"/>
      </w:r>
    </w:p>
    <w:p>
      <w:pPr>
        <w:widowControl/>
        <w:spacing w:after="240"/>
        <w:rPr>
          <w:rFonts w:eastAsia="黑体"/>
          <w:color w:val="333333"/>
          <w:kern w:val="0"/>
          <w:sz w:val="32"/>
          <w:szCs w:val="32"/>
        </w:rPr>
      </w:pPr>
      <w:r>
        <w:rPr>
          <w:rFonts w:eastAsia="黑体"/>
          <w:b/>
          <w:bCs/>
          <w:color w:val="333333"/>
          <w:kern w:val="0"/>
          <w:sz w:val="32"/>
          <w:szCs w:val="32"/>
        </w:rPr>
        <w:t>二、主动公开政府信息情况</w:t>
      </w:r>
    </w:p>
    <w:tbl>
      <w:tblPr>
        <w:tblStyle w:val="6"/>
        <w:tblW w:w="814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3"/>
        <w:gridCol w:w="1875"/>
        <w:gridCol w:w="6"/>
        <w:gridCol w:w="1265"/>
        <w:gridCol w:w="18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8140" w:type="dxa"/>
            <w:gridSpan w:val="5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第二十条第（一）项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1" w:hRule="atLeast"/>
          <w:jc w:val="center"/>
        </w:trPr>
        <w:tc>
          <w:tcPr>
            <w:tcW w:w="3113" w:type="dxa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本年新</w:t>
            </w:r>
            <w:r>
              <w:rPr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color w:val="333333"/>
                <w:kern w:val="0"/>
                <w:sz w:val="20"/>
                <w:szCs w:val="20"/>
              </w:rPr>
              <w:t>制</w:t>
            </w:r>
            <w:r>
              <w:rPr>
                <w:rFonts w:hint="eastAsia"/>
                <w:color w:val="333333"/>
                <w:kern w:val="0"/>
                <w:sz w:val="20"/>
                <w:szCs w:val="20"/>
                <w:lang w:val="en-US" w:eastAsia="zh-CN"/>
              </w:rPr>
              <w:t>发件</w:t>
            </w:r>
            <w:r>
              <w:rPr>
                <w:color w:val="333333"/>
                <w:kern w:val="0"/>
                <w:sz w:val="20"/>
                <w:szCs w:val="20"/>
              </w:rPr>
              <w:t>数</w:t>
            </w:r>
          </w:p>
        </w:tc>
        <w:tc>
          <w:tcPr>
            <w:tcW w:w="1271" w:type="dxa"/>
            <w:gridSpan w:val="2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本年</w:t>
            </w:r>
            <w:r>
              <w:rPr>
                <w:rFonts w:hint="eastAsia"/>
                <w:color w:val="000000"/>
                <w:kern w:val="0"/>
                <w:sz w:val="20"/>
                <w:szCs w:val="20"/>
                <w:lang w:val="en-US" w:eastAsia="zh-CN"/>
              </w:rPr>
              <w:t>废止件数</w:t>
            </w:r>
          </w:p>
        </w:tc>
        <w:tc>
          <w:tcPr>
            <w:tcW w:w="1881" w:type="dxa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现行有效件数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3113" w:type="dxa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规章</w:t>
            </w:r>
          </w:p>
        </w:tc>
        <w:tc>
          <w:tcPr>
            <w:tcW w:w="1875" w:type="dxa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0</w:t>
            </w:r>
          </w:p>
        </w:tc>
        <w:tc>
          <w:tcPr>
            <w:tcW w:w="1271" w:type="dxa"/>
            <w:gridSpan w:val="2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0</w:t>
            </w:r>
          </w:p>
        </w:tc>
        <w:tc>
          <w:tcPr>
            <w:tcW w:w="1881" w:type="dxa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3113" w:type="dxa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规范性文件</w:t>
            </w:r>
          </w:p>
        </w:tc>
        <w:tc>
          <w:tcPr>
            <w:tcW w:w="1875" w:type="dxa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auto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auto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1271" w:type="dxa"/>
            <w:gridSpan w:val="2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auto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auto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1881" w:type="dxa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auto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auto"/>
                <w:kern w:val="0"/>
                <w:szCs w:val="21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8140" w:type="dxa"/>
            <w:gridSpan w:val="5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第二十条第（五）项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3113" w:type="dxa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1271" w:type="dxa"/>
            <w:gridSpan w:val="2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本年增/减</w:t>
            </w:r>
          </w:p>
        </w:tc>
        <w:tc>
          <w:tcPr>
            <w:tcW w:w="1881" w:type="dxa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3113" w:type="dxa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行政许可</w:t>
            </w:r>
          </w:p>
        </w:tc>
        <w:tc>
          <w:tcPr>
            <w:tcW w:w="1881" w:type="dxa"/>
            <w:gridSpan w:val="2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Cs w:val="21"/>
                <w:lang w:val="en-US" w:eastAsia="zh-CN"/>
              </w:rPr>
              <w:t>38</w:t>
            </w:r>
          </w:p>
        </w:tc>
        <w:tc>
          <w:tcPr>
            <w:tcW w:w="1265" w:type="dxa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Cs w:val="21"/>
                <w:lang w:val="en-US" w:eastAsia="zh-CN"/>
              </w:rPr>
              <w:t>-6</w:t>
            </w:r>
          </w:p>
        </w:tc>
        <w:tc>
          <w:tcPr>
            <w:tcW w:w="1881" w:type="dxa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Cs w:val="21"/>
                <w:lang w:val="en-US" w:eastAsia="zh-CN"/>
              </w:rPr>
              <w:t>1261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8140" w:type="dxa"/>
            <w:gridSpan w:val="5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第二十条第（六）项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3113" w:type="dxa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5027" w:type="dxa"/>
            <w:gridSpan w:val="4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  <w:lang w:val="en-US" w:eastAsia="zh-CN"/>
              </w:rPr>
              <w:t>本年</w:t>
            </w:r>
            <w:r>
              <w:rPr>
                <w:color w:val="000000"/>
                <w:kern w:val="0"/>
                <w:sz w:val="20"/>
                <w:szCs w:val="20"/>
              </w:rPr>
              <w:t>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3113" w:type="dxa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行政处罚</w:t>
            </w:r>
          </w:p>
        </w:tc>
        <w:tc>
          <w:tcPr>
            <w:tcW w:w="5027" w:type="dxa"/>
            <w:gridSpan w:val="4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183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3113" w:type="dxa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行政强制</w:t>
            </w:r>
          </w:p>
        </w:tc>
        <w:tc>
          <w:tcPr>
            <w:tcW w:w="5027" w:type="dxa"/>
            <w:gridSpan w:val="4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140" w:type="dxa"/>
            <w:gridSpan w:val="5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第二十条第（八）项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13" w:type="dxa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5027" w:type="dxa"/>
            <w:gridSpan w:val="4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本年收费金额（单位：万元）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3113" w:type="dxa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行政事业性收费</w:t>
            </w:r>
          </w:p>
        </w:tc>
        <w:tc>
          <w:tcPr>
            <w:tcW w:w="5027" w:type="dxa"/>
            <w:gridSpan w:val="4"/>
            <w:noWrap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Cs w:val="21"/>
                <w:lang w:val="en-US" w:eastAsia="zh-CN"/>
              </w:rPr>
              <w:t xml:space="preserve">5830.12 </w:t>
            </w:r>
          </w:p>
        </w:tc>
      </w:tr>
    </w:tbl>
    <w:p>
      <w:pPr>
        <w:widowControl/>
        <w:ind w:firstLine="480"/>
        <w:rPr>
          <w:color w:val="333333"/>
          <w:kern w:val="0"/>
          <w:sz w:val="24"/>
        </w:rPr>
      </w:pPr>
    </w:p>
    <w:p>
      <w:pPr>
        <w:rPr>
          <w:rFonts w:eastAsia="黑体"/>
          <w:b/>
          <w:bCs/>
          <w:color w:val="333333"/>
          <w:kern w:val="0"/>
          <w:sz w:val="32"/>
          <w:szCs w:val="32"/>
        </w:rPr>
      </w:pPr>
      <w:r>
        <w:rPr>
          <w:rFonts w:eastAsia="黑体"/>
          <w:b/>
          <w:bCs/>
          <w:color w:val="333333"/>
          <w:kern w:val="0"/>
          <w:sz w:val="32"/>
          <w:szCs w:val="32"/>
        </w:rPr>
        <w:br w:type="page"/>
      </w:r>
    </w:p>
    <w:p>
      <w:pPr>
        <w:widowControl/>
        <w:spacing w:after="240"/>
        <w:ind w:firstLine="480"/>
        <w:rPr>
          <w:rFonts w:eastAsia="黑体"/>
          <w:color w:val="333333"/>
          <w:kern w:val="0"/>
          <w:sz w:val="32"/>
          <w:szCs w:val="32"/>
        </w:rPr>
      </w:pPr>
      <w:r>
        <w:rPr>
          <w:rFonts w:eastAsia="黑体"/>
          <w:b/>
          <w:bCs/>
          <w:color w:val="333333"/>
          <w:kern w:val="0"/>
          <w:sz w:val="32"/>
          <w:szCs w:val="32"/>
        </w:rPr>
        <w:t>三、收到和处理政府信息公开申请情况</w:t>
      </w:r>
    </w:p>
    <w:tbl>
      <w:tblPr>
        <w:tblStyle w:val="6"/>
        <w:tblW w:w="90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4"/>
        <w:gridCol w:w="855"/>
        <w:gridCol w:w="2130"/>
        <w:gridCol w:w="825"/>
        <w:gridCol w:w="765"/>
        <w:gridCol w:w="765"/>
        <w:gridCol w:w="825"/>
        <w:gridCol w:w="990"/>
        <w:gridCol w:w="720"/>
        <w:gridCol w:w="7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9" w:type="dxa"/>
            <w:gridSpan w:val="3"/>
            <w:vMerge w:val="restart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（本列数据的勾稽关系为：第一项加第二项之和，等于第三项加第四项之和）</w:t>
            </w:r>
          </w:p>
        </w:tc>
        <w:tc>
          <w:tcPr>
            <w:tcW w:w="5592" w:type="dxa"/>
            <w:gridSpan w:val="7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申请人情况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9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825" w:type="dxa"/>
            <w:vMerge w:val="restart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自然人</w:t>
            </w:r>
          </w:p>
        </w:tc>
        <w:tc>
          <w:tcPr>
            <w:tcW w:w="4065" w:type="dxa"/>
            <w:gridSpan w:val="5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法人或其他组织</w:t>
            </w:r>
          </w:p>
        </w:tc>
        <w:tc>
          <w:tcPr>
            <w:tcW w:w="702" w:type="dxa"/>
            <w:vMerge w:val="restart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9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825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商业企业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科研机构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社会公益组织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法律服务机构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其他</w:t>
            </w:r>
          </w:p>
        </w:tc>
        <w:tc>
          <w:tcPr>
            <w:tcW w:w="702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9" w:type="dxa"/>
            <w:gridSpan w:val="3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一、本年新收政府信息公开申请数量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62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15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3479" w:type="dxa"/>
            <w:gridSpan w:val="3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二、上年结转政府信息公开申请数量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Merge w:val="restart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三、本年度办理结果</w:t>
            </w:r>
          </w:p>
        </w:tc>
        <w:tc>
          <w:tcPr>
            <w:tcW w:w="2985" w:type="dxa"/>
            <w:gridSpan w:val="2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eastAsia="楷体"/>
                <w:color w:val="333333"/>
                <w:sz w:val="20"/>
                <w:szCs w:val="20"/>
              </w:rPr>
              <w:t>（一）予以公开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25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5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2985" w:type="dxa"/>
            <w:gridSpan w:val="2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eastAsia="楷体"/>
                <w:color w:val="333333"/>
                <w:sz w:val="20"/>
                <w:szCs w:val="20"/>
              </w:rPr>
              <w:t>（二）部分公开（区分处理的，只计这一情形，不计其他情形）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15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855" w:type="dxa"/>
            <w:vMerge w:val="restart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eastAsia="楷体"/>
                <w:color w:val="333333"/>
                <w:sz w:val="20"/>
                <w:szCs w:val="20"/>
              </w:rPr>
              <w:t>（三）不予公开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eastAsia="楷体"/>
                <w:color w:val="333333"/>
                <w:sz w:val="20"/>
                <w:szCs w:val="20"/>
              </w:rPr>
              <w:t>1.属于国家秘密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855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eastAsia="楷体"/>
                <w:color w:val="333333"/>
                <w:sz w:val="20"/>
                <w:szCs w:val="20"/>
              </w:rPr>
              <w:t>2.其他法律行政法规禁止公开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855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eastAsia="楷体"/>
                <w:color w:val="333333"/>
                <w:sz w:val="20"/>
                <w:szCs w:val="20"/>
              </w:rPr>
              <w:t>3.危及“三安全一稳定”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855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eastAsia="楷体"/>
                <w:color w:val="333333"/>
                <w:sz w:val="20"/>
                <w:szCs w:val="20"/>
              </w:rPr>
              <w:t>4.保护第三方合法权益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855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eastAsia="楷体"/>
                <w:color w:val="333333"/>
                <w:sz w:val="20"/>
                <w:szCs w:val="20"/>
              </w:rPr>
              <w:t>5.属于三类内部事务信息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  <w:r>
              <w:rPr>
                <w:color w:val="333333"/>
                <w:kern w:val="0"/>
                <w:szCs w:val="21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855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eastAsia="楷体"/>
                <w:color w:val="333333"/>
                <w:sz w:val="20"/>
                <w:szCs w:val="20"/>
              </w:rPr>
              <w:t>6.属于四类过程性信息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855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eastAsia="楷体"/>
                <w:color w:val="333333"/>
                <w:sz w:val="20"/>
                <w:szCs w:val="20"/>
              </w:rPr>
              <w:t>7.属于行政执法案卷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855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eastAsia="楷体"/>
                <w:color w:val="333333"/>
                <w:sz w:val="20"/>
                <w:szCs w:val="20"/>
              </w:rPr>
              <w:t>8.属于行政查询事项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855" w:type="dxa"/>
            <w:vMerge w:val="restart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eastAsia="楷体"/>
                <w:color w:val="333333"/>
                <w:sz w:val="20"/>
                <w:szCs w:val="20"/>
              </w:rPr>
              <w:t>（四）无法提供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eastAsia="楷体"/>
                <w:color w:val="333333"/>
                <w:sz w:val="20"/>
                <w:szCs w:val="20"/>
              </w:rPr>
              <w:t>1.本机关不掌握相关政府信息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855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eastAsia="楷体"/>
                <w:color w:val="333333"/>
                <w:sz w:val="20"/>
                <w:szCs w:val="20"/>
              </w:rPr>
              <w:t>2.没有现成信息需要另行制作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5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855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eastAsia="楷体"/>
                <w:color w:val="333333"/>
                <w:sz w:val="20"/>
                <w:szCs w:val="20"/>
              </w:rPr>
              <w:t>3.补正后申请内容仍不明确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855" w:type="dxa"/>
            <w:vMerge w:val="restart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eastAsia="楷体"/>
                <w:color w:val="333333"/>
                <w:sz w:val="20"/>
                <w:szCs w:val="20"/>
              </w:rPr>
              <w:t>（五）不予处理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eastAsia="楷体"/>
                <w:color w:val="333333"/>
                <w:sz w:val="20"/>
                <w:szCs w:val="20"/>
              </w:rPr>
              <w:t>1.信访举报投诉类申请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855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eastAsia="楷体"/>
                <w:color w:val="333333"/>
                <w:sz w:val="20"/>
                <w:szCs w:val="20"/>
              </w:rPr>
              <w:t>2.重复申请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855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eastAsia="楷体"/>
                <w:color w:val="333333"/>
                <w:sz w:val="20"/>
                <w:szCs w:val="20"/>
              </w:rPr>
              <w:t>3.要求提供公开出版物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855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eastAsia="楷体"/>
                <w:color w:val="333333"/>
                <w:sz w:val="20"/>
                <w:szCs w:val="20"/>
              </w:rPr>
              <w:t>4.无正当理由大量反复申请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855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eastAsia="楷体"/>
                <w:color w:val="333333"/>
                <w:sz w:val="20"/>
                <w:szCs w:val="20"/>
              </w:rPr>
              <w:t>5.要求行政机关确认或重新出具已获取信息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855" w:type="dxa"/>
            <w:vMerge w:val="restart"/>
            <w:vAlign w:val="center"/>
          </w:tcPr>
          <w:p>
            <w:pPr>
              <w:widowControl/>
              <w:jc w:val="center"/>
              <w:rPr>
                <w:rFonts w:hint="default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eastAsia="zh-CN"/>
              </w:rPr>
              <w:t>（</w:t>
            </w: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六</w:t>
            </w:r>
            <w:r>
              <w:rPr>
                <w:rFonts w:hint="eastAsia"/>
                <w:color w:val="333333"/>
                <w:kern w:val="0"/>
                <w:szCs w:val="21"/>
                <w:lang w:eastAsia="zh-CN"/>
              </w:rPr>
              <w:t>）</w:t>
            </w: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其它处理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楷体"/>
                <w:color w:val="333333"/>
                <w:sz w:val="20"/>
                <w:szCs w:val="20"/>
                <w:lang w:val="en-US" w:eastAsia="zh-CN"/>
              </w:rPr>
            </w:pPr>
            <w:r>
              <w:rPr>
                <w:rFonts w:hint="eastAsia" w:eastAsia="楷体"/>
                <w:color w:val="333333"/>
                <w:sz w:val="20"/>
                <w:szCs w:val="20"/>
                <w:lang w:val="en-US" w:eastAsia="zh-CN"/>
              </w:rPr>
              <w:t>1.申请人无正当理由逾期不补正、行政机关不再处理其政府信息公开申请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6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/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/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/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/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855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楷体"/>
                <w:color w:val="333333"/>
                <w:sz w:val="20"/>
                <w:szCs w:val="20"/>
                <w:lang w:val="en-US" w:eastAsia="zh-CN"/>
              </w:rPr>
            </w:pPr>
            <w:r>
              <w:rPr>
                <w:rFonts w:hint="eastAsia" w:eastAsia="楷体"/>
                <w:color w:val="333333"/>
                <w:sz w:val="20"/>
                <w:szCs w:val="20"/>
                <w:lang w:val="en-US" w:eastAsia="zh-CN"/>
              </w:rPr>
              <w:t>2.申请人逾期未按收费通知要求缴纳费用、行政机关不再处理其政府信息公开申请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/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/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/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/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/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/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/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855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楷体"/>
                <w:color w:val="333333"/>
                <w:sz w:val="20"/>
                <w:szCs w:val="20"/>
                <w:lang w:val="en-US" w:eastAsia="zh-CN"/>
              </w:rPr>
            </w:pPr>
            <w:r>
              <w:rPr>
                <w:rFonts w:hint="eastAsia" w:eastAsia="楷体"/>
                <w:color w:val="333333"/>
                <w:sz w:val="20"/>
                <w:szCs w:val="20"/>
                <w:lang w:val="en-US" w:eastAsia="zh-CN"/>
              </w:rPr>
              <w:t>3.其它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/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/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/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/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/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2985" w:type="dxa"/>
            <w:gridSpan w:val="2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eastAsia="楷体"/>
                <w:color w:val="333333"/>
                <w:sz w:val="20"/>
                <w:szCs w:val="20"/>
              </w:rPr>
              <w:t>（七）总计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62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15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default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9" w:type="dxa"/>
            <w:gridSpan w:val="3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四、结转下年度继续办理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99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2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702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</w:tr>
    </w:tbl>
    <w:p>
      <w:pPr>
        <w:widowControl/>
        <w:ind w:firstLine="480"/>
        <w:rPr>
          <w:rFonts w:eastAsia="黑体"/>
          <w:color w:val="333333"/>
          <w:kern w:val="0"/>
          <w:sz w:val="32"/>
          <w:szCs w:val="32"/>
        </w:rPr>
      </w:pPr>
    </w:p>
    <w:p>
      <w:pPr>
        <w:widowControl/>
        <w:ind w:firstLine="480"/>
        <w:rPr>
          <w:rFonts w:eastAsia="黑体"/>
          <w:color w:val="333333"/>
          <w:kern w:val="0"/>
          <w:sz w:val="32"/>
          <w:szCs w:val="32"/>
        </w:rPr>
      </w:pPr>
      <w:r>
        <w:rPr>
          <w:rFonts w:eastAsia="黑体"/>
          <w:b/>
          <w:bCs/>
          <w:color w:val="333333"/>
          <w:kern w:val="0"/>
          <w:sz w:val="32"/>
          <w:szCs w:val="32"/>
        </w:rPr>
        <w:t>四、政府信息公开行政复议、行政诉讼情况</w:t>
      </w:r>
    </w:p>
    <w:p>
      <w:pPr>
        <w:widowControl/>
        <w:ind w:firstLine="480"/>
        <w:rPr>
          <w:color w:val="333333"/>
          <w:kern w:val="0"/>
          <w:sz w:val="24"/>
        </w:rPr>
      </w:pPr>
    </w:p>
    <w:tbl>
      <w:tblPr>
        <w:tblStyle w:val="6"/>
        <w:tblW w:w="90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4" w:type="dxa"/>
            <w:gridSpan w:val="5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行政诉讼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4" w:type="dxa"/>
            <w:vMerge w:val="restart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结果维持</w:t>
            </w:r>
          </w:p>
        </w:tc>
        <w:tc>
          <w:tcPr>
            <w:tcW w:w="604" w:type="dxa"/>
            <w:vMerge w:val="restart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尚未审结</w:t>
            </w:r>
          </w:p>
        </w:tc>
        <w:tc>
          <w:tcPr>
            <w:tcW w:w="658" w:type="dxa"/>
            <w:vMerge w:val="restart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总计</w:t>
            </w:r>
          </w:p>
        </w:tc>
        <w:tc>
          <w:tcPr>
            <w:tcW w:w="2970" w:type="dxa"/>
            <w:gridSpan w:val="5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复议后起诉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60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60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604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658" w:type="dxa"/>
            <w:vMerge w:val="continue"/>
            <w:vAlign w:val="center"/>
          </w:tcPr>
          <w:p>
            <w:pPr>
              <w:widowControl/>
              <w:jc w:val="center"/>
              <w:rPr>
                <w:color w:val="333333"/>
                <w:kern w:val="0"/>
                <w:szCs w:val="21"/>
              </w:rPr>
            </w:pPr>
          </w:p>
        </w:tc>
        <w:tc>
          <w:tcPr>
            <w:tcW w:w="55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其他结果</w:t>
            </w:r>
          </w:p>
        </w:tc>
        <w:tc>
          <w:tcPr>
            <w:tcW w:w="60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尚未审结</w:t>
            </w:r>
          </w:p>
        </w:tc>
        <w:tc>
          <w:tcPr>
            <w:tcW w:w="60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6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333333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4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-</w:t>
            </w:r>
          </w:p>
        </w:tc>
        <w:tc>
          <w:tcPr>
            <w:tcW w:w="604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-</w:t>
            </w:r>
          </w:p>
        </w:tc>
        <w:tc>
          <w:tcPr>
            <w:tcW w:w="604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604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658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-</w:t>
            </w:r>
          </w:p>
        </w:tc>
        <w:tc>
          <w:tcPr>
            <w:tcW w:w="550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60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60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60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60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60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-</w:t>
            </w:r>
          </w:p>
        </w:tc>
        <w:tc>
          <w:tcPr>
            <w:tcW w:w="60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605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606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color w:val="333333"/>
                <w:kern w:val="0"/>
                <w:szCs w:val="21"/>
              </w:rPr>
            </w:pPr>
            <w:r>
              <w:rPr>
                <w:rFonts w:hint="eastAsia"/>
                <w:color w:val="333333"/>
                <w:kern w:val="0"/>
                <w:szCs w:val="21"/>
              </w:rPr>
              <w:t>-</w:t>
            </w:r>
          </w:p>
        </w:tc>
        <w:tc>
          <w:tcPr>
            <w:tcW w:w="606" w:type="dxa"/>
            <w:vAlign w:val="center"/>
          </w:tcPr>
          <w:p>
            <w:pPr>
              <w:widowControl/>
              <w:spacing w:before="100" w:beforeAutospacing="1" w:after="180"/>
              <w:jc w:val="center"/>
              <w:rPr>
                <w:rFonts w:hint="eastAsia" w:eastAsia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333333"/>
                <w:kern w:val="0"/>
                <w:szCs w:val="21"/>
                <w:lang w:val="en-US" w:eastAsia="zh-CN"/>
              </w:rPr>
              <w:t>-</w:t>
            </w:r>
          </w:p>
        </w:tc>
      </w:tr>
    </w:tbl>
    <w:p>
      <w:pPr>
        <w:widowControl/>
        <w:jc w:val="center"/>
        <w:rPr>
          <w:color w:val="333333"/>
          <w:kern w:val="0"/>
          <w:sz w:val="24"/>
        </w:rPr>
      </w:pPr>
    </w:p>
    <w:p>
      <w:pPr>
        <w:widowControl/>
        <w:ind w:firstLine="480"/>
        <w:rPr>
          <w:rFonts w:eastAsia="黑体"/>
          <w:color w:val="333333"/>
          <w:kern w:val="0"/>
          <w:sz w:val="32"/>
          <w:szCs w:val="32"/>
        </w:rPr>
      </w:pPr>
      <w:r>
        <w:rPr>
          <w:rFonts w:eastAsia="黑体"/>
          <w:b/>
          <w:bCs/>
          <w:color w:val="333333"/>
          <w:kern w:val="0"/>
          <w:sz w:val="32"/>
          <w:szCs w:val="32"/>
        </w:rPr>
        <w:t>五、存在的主要问题及改进情况</w:t>
      </w:r>
    </w:p>
    <w:p>
      <w:pPr>
        <w:widowControl/>
        <w:ind w:firstLine="640" w:firstLineChars="200"/>
        <w:rPr>
          <w:rFonts w:hint="default" w:eastAsia="仿宋_GB2312"/>
          <w:color w:val="333333"/>
          <w:kern w:val="0"/>
          <w:sz w:val="32"/>
          <w:szCs w:val="32"/>
          <w:lang w:val="en-US" w:eastAsia="zh-CN"/>
        </w:rPr>
      </w:pPr>
      <w:r>
        <w:rPr>
          <w:rFonts w:eastAsia="仿宋_GB2312"/>
          <w:color w:val="333333"/>
          <w:kern w:val="0"/>
          <w:sz w:val="32"/>
          <w:szCs w:val="32"/>
        </w:rPr>
        <w:t>一是政务公开的时效性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仍需加强</w:t>
      </w:r>
      <w:r>
        <w:rPr>
          <w:rFonts w:eastAsia="仿宋_GB2312"/>
          <w:color w:val="333333"/>
          <w:kern w:val="0"/>
          <w:sz w:val="32"/>
          <w:szCs w:val="32"/>
        </w:rPr>
        <w:t>。在执行政务公开工作中，部分信息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的公开在</w:t>
      </w:r>
      <w:r>
        <w:rPr>
          <w:rFonts w:eastAsia="仿宋_GB2312"/>
          <w:color w:val="333333"/>
          <w:kern w:val="0"/>
          <w:sz w:val="32"/>
          <w:szCs w:val="32"/>
        </w:rPr>
        <w:t>时效性上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还</w:t>
      </w:r>
      <w:r>
        <w:rPr>
          <w:rFonts w:eastAsia="仿宋_GB2312"/>
          <w:color w:val="333333"/>
          <w:kern w:val="0"/>
          <w:sz w:val="32"/>
          <w:szCs w:val="32"/>
        </w:rPr>
        <w:t>有所欠缺。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2021年，通过定时查询公开网站，设定公开提醒等方式，使得信息公开的频率有所提升，此外，通过开展信息公开培训，日常加强沟通，全局工作人员对信息公开已有充分认识。</w:t>
      </w:r>
    </w:p>
    <w:p>
      <w:pPr>
        <w:widowControl/>
        <w:ind w:firstLine="640" w:firstLineChars="200"/>
        <w:rPr>
          <w:rFonts w:hint="default" w:eastAsia="仿宋_GB2312"/>
          <w:color w:val="333333"/>
          <w:kern w:val="0"/>
          <w:sz w:val="32"/>
          <w:szCs w:val="32"/>
          <w:lang w:val="en-US" w:eastAsia="zh-CN"/>
        </w:rPr>
      </w:pPr>
      <w:r>
        <w:rPr>
          <w:rFonts w:eastAsia="仿宋_GB2312"/>
          <w:color w:val="333333"/>
          <w:kern w:val="0"/>
          <w:sz w:val="32"/>
          <w:szCs w:val="32"/>
        </w:rPr>
        <w:t>二是依申请信息公开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内容描述辨别难度大</w:t>
      </w:r>
      <w:r>
        <w:rPr>
          <w:rFonts w:eastAsia="仿宋_GB2312"/>
          <w:color w:val="333333"/>
          <w:kern w:val="0"/>
          <w:sz w:val="32"/>
          <w:szCs w:val="32"/>
        </w:rPr>
        <w:t>。同一申请人所申请的资料复杂性增加，涉及到多份资料，往往还与信访信息杂糅，内容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辨别难度大，部分申请补正后，描述上仍难以辨别需要的信息内容</w:t>
      </w:r>
      <w:r>
        <w:rPr>
          <w:rFonts w:eastAsia="仿宋_GB2312"/>
          <w:color w:val="333333"/>
          <w:kern w:val="0"/>
          <w:sz w:val="32"/>
          <w:szCs w:val="32"/>
        </w:rPr>
        <w:t>。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2021年，通过积极与申请人沟通，一定程度上提高提供资料信息的准确性，为建设服务型政府积极努力。</w:t>
      </w:r>
    </w:p>
    <w:p>
      <w:pPr>
        <w:widowControl/>
        <w:ind w:firstLine="640" w:firstLineChars="200"/>
        <w:rPr>
          <w:rFonts w:hint="default" w:eastAsia="仿宋_GB2312"/>
          <w:color w:val="333333"/>
          <w:kern w:val="0"/>
          <w:sz w:val="32"/>
          <w:szCs w:val="32"/>
          <w:lang w:val="en-US" w:eastAsia="zh-CN"/>
        </w:rPr>
      </w:pPr>
      <w:r>
        <w:rPr>
          <w:rFonts w:eastAsia="仿宋_GB2312"/>
          <w:color w:val="333333"/>
          <w:kern w:val="0"/>
          <w:sz w:val="32"/>
          <w:szCs w:val="32"/>
        </w:rPr>
        <w:t>三是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网站栏目有待进一步优化</w:t>
      </w:r>
      <w:r>
        <w:rPr>
          <w:rFonts w:eastAsia="仿宋_GB2312"/>
          <w:color w:val="333333"/>
          <w:kern w:val="0"/>
          <w:sz w:val="32"/>
          <w:szCs w:val="32"/>
        </w:rPr>
        <w:t>。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信息公开网站的栏目的设置、种类和查询的方式相对比较复杂，此外，新媒体平台更新频率有待加强</w:t>
      </w:r>
      <w:r>
        <w:rPr>
          <w:rFonts w:eastAsia="仿宋_GB2312"/>
          <w:color w:val="333333"/>
          <w:kern w:val="0"/>
          <w:sz w:val="32"/>
          <w:szCs w:val="32"/>
        </w:rPr>
        <w:t>。</w:t>
      </w:r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2021年，微信、微博动态频次有明显的增加，对网站的信息公开栏目进行了</w:t>
      </w:r>
      <w:bookmarkStart w:id="0" w:name="_GoBack"/>
      <w:bookmarkEnd w:id="0"/>
      <w:r>
        <w:rPr>
          <w:rFonts w:hint="eastAsia" w:eastAsia="仿宋_GB2312"/>
          <w:color w:val="333333"/>
          <w:kern w:val="0"/>
          <w:sz w:val="32"/>
          <w:szCs w:val="32"/>
          <w:lang w:val="en-US" w:eastAsia="zh-CN"/>
        </w:rPr>
        <w:t>一定整合调整，提供了更优质的政府信息公开获取服务。</w:t>
      </w:r>
    </w:p>
    <w:p>
      <w:pPr>
        <w:widowControl/>
        <w:ind w:firstLine="480"/>
        <w:rPr>
          <w:rFonts w:eastAsia="黑体"/>
          <w:color w:val="333333"/>
          <w:kern w:val="0"/>
          <w:sz w:val="32"/>
          <w:szCs w:val="32"/>
        </w:rPr>
      </w:pPr>
      <w:r>
        <w:rPr>
          <w:rFonts w:eastAsia="黑体"/>
          <w:b/>
          <w:bCs/>
          <w:color w:val="333333"/>
          <w:kern w:val="0"/>
          <w:sz w:val="32"/>
          <w:szCs w:val="32"/>
        </w:rPr>
        <w:t>六、其他需要报告的事项</w:t>
      </w:r>
    </w:p>
    <w:p>
      <w:pPr>
        <w:rPr>
          <w:rFonts w:eastAsia="仿宋_GB2312"/>
          <w:sz w:val="32"/>
          <w:szCs w:val="32"/>
        </w:rPr>
      </w:pPr>
      <w:r>
        <w:rPr>
          <w:rFonts w:eastAsia="仿宋_GB2312"/>
          <w:color w:val="333333"/>
          <w:kern w:val="0"/>
          <w:sz w:val="32"/>
          <w:szCs w:val="32"/>
        </w:rPr>
        <w:t xml:space="preserve">    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4DF"/>
    <w:rsid w:val="000035BB"/>
    <w:rsid w:val="000037ED"/>
    <w:rsid w:val="000140F5"/>
    <w:rsid w:val="0001463C"/>
    <w:rsid w:val="00024734"/>
    <w:rsid w:val="00032329"/>
    <w:rsid w:val="00035CF3"/>
    <w:rsid w:val="00037E86"/>
    <w:rsid w:val="00040EA5"/>
    <w:rsid w:val="00041159"/>
    <w:rsid w:val="000443B3"/>
    <w:rsid w:val="0005152D"/>
    <w:rsid w:val="00052479"/>
    <w:rsid w:val="00060AC9"/>
    <w:rsid w:val="0006285D"/>
    <w:rsid w:val="00066E8A"/>
    <w:rsid w:val="0007412C"/>
    <w:rsid w:val="0007772E"/>
    <w:rsid w:val="0008115E"/>
    <w:rsid w:val="0008256B"/>
    <w:rsid w:val="00085E6D"/>
    <w:rsid w:val="000865BF"/>
    <w:rsid w:val="00087077"/>
    <w:rsid w:val="00091187"/>
    <w:rsid w:val="00094C83"/>
    <w:rsid w:val="00097D0C"/>
    <w:rsid w:val="000B1036"/>
    <w:rsid w:val="000B30B0"/>
    <w:rsid w:val="000B499F"/>
    <w:rsid w:val="000B591A"/>
    <w:rsid w:val="000B7D67"/>
    <w:rsid w:val="000C0094"/>
    <w:rsid w:val="000C1D40"/>
    <w:rsid w:val="000E042A"/>
    <w:rsid w:val="000E073B"/>
    <w:rsid w:val="000E1BD5"/>
    <w:rsid w:val="000E1D3C"/>
    <w:rsid w:val="000E5987"/>
    <w:rsid w:val="000E6FD5"/>
    <w:rsid w:val="000F34DF"/>
    <w:rsid w:val="000F372A"/>
    <w:rsid w:val="00100612"/>
    <w:rsid w:val="001026C8"/>
    <w:rsid w:val="0012256A"/>
    <w:rsid w:val="00127ACF"/>
    <w:rsid w:val="00137A9F"/>
    <w:rsid w:val="00137E39"/>
    <w:rsid w:val="00143B7E"/>
    <w:rsid w:val="00153331"/>
    <w:rsid w:val="0015483B"/>
    <w:rsid w:val="00155FC7"/>
    <w:rsid w:val="001562E5"/>
    <w:rsid w:val="0016406D"/>
    <w:rsid w:val="00165916"/>
    <w:rsid w:val="00167306"/>
    <w:rsid w:val="00176E59"/>
    <w:rsid w:val="001773DA"/>
    <w:rsid w:val="001824EE"/>
    <w:rsid w:val="00183250"/>
    <w:rsid w:val="0018601A"/>
    <w:rsid w:val="00186FE9"/>
    <w:rsid w:val="00190D6B"/>
    <w:rsid w:val="001A3D35"/>
    <w:rsid w:val="001A3FB9"/>
    <w:rsid w:val="001A6BA8"/>
    <w:rsid w:val="001A6CDB"/>
    <w:rsid w:val="001A7877"/>
    <w:rsid w:val="001B46D2"/>
    <w:rsid w:val="001B7643"/>
    <w:rsid w:val="001C34BB"/>
    <w:rsid w:val="001C3DC7"/>
    <w:rsid w:val="001D2502"/>
    <w:rsid w:val="001D3F01"/>
    <w:rsid w:val="001E1EC1"/>
    <w:rsid w:val="001F0F32"/>
    <w:rsid w:val="001F1F40"/>
    <w:rsid w:val="001F21DD"/>
    <w:rsid w:val="001F3FA9"/>
    <w:rsid w:val="001F4CD1"/>
    <w:rsid w:val="001F73EE"/>
    <w:rsid w:val="002077C8"/>
    <w:rsid w:val="002143D3"/>
    <w:rsid w:val="00220E01"/>
    <w:rsid w:val="002256E7"/>
    <w:rsid w:val="002267A3"/>
    <w:rsid w:val="00230E58"/>
    <w:rsid w:val="00233D10"/>
    <w:rsid w:val="0023457B"/>
    <w:rsid w:val="002348A3"/>
    <w:rsid w:val="00244977"/>
    <w:rsid w:val="00251980"/>
    <w:rsid w:val="00252D2D"/>
    <w:rsid w:val="002665AB"/>
    <w:rsid w:val="00266E98"/>
    <w:rsid w:val="00275B7F"/>
    <w:rsid w:val="002774D7"/>
    <w:rsid w:val="00281BF1"/>
    <w:rsid w:val="00284622"/>
    <w:rsid w:val="00284E5B"/>
    <w:rsid w:val="00286CD2"/>
    <w:rsid w:val="00291151"/>
    <w:rsid w:val="00292D84"/>
    <w:rsid w:val="00293E5C"/>
    <w:rsid w:val="00296735"/>
    <w:rsid w:val="002A0E09"/>
    <w:rsid w:val="002A22E1"/>
    <w:rsid w:val="002A2756"/>
    <w:rsid w:val="002A2F2B"/>
    <w:rsid w:val="002A43B1"/>
    <w:rsid w:val="002A5F2D"/>
    <w:rsid w:val="002A7989"/>
    <w:rsid w:val="002B0D6D"/>
    <w:rsid w:val="002B17D5"/>
    <w:rsid w:val="002B6585"/>
    <w:rsid w:val="002C1F8A"/>
    <w:rsid w:val="002C2C89"/>
    <w:rsid w:val="002C5CCC"/>
    <w:rsid w:val="002C6F87"/>
    <w:rsid w:val="002D06E4"/>
    <w:rsid w:val="002D4C79"/>
    <w:rsid w:val="002D5F3F"/>
    <w:rsid w:val="002D6319"/>
    <w:rsid w:val="002D745D"/>
    <w:rsid w:val="002E02CA"/>
    <w:rsid w:val="002E3220"/>
    <w:rsid w:val="002E7342"/>
    <w:rsid w:val="002F17D0"/>
    <w:rsid w:val="002F66EC"/>
    <w:rsid w:val="00310F33"/>
    <w:rsid w:val="00311AE4"/>
    <w:rsid w:val="00315281"/>
    <w:rsid w:val="00316328"/>
    <w:rsid w:val="003211FB"/>
    <w:rsid w:val="00340E54"/>
    <w:rsid w:val="00357E34"/>
    <w:rsid w:val="003634FD"/>
    <w:rsid w:val="00363B98"/>
    <w:rsid w:val="003711B9"/>
    <w:rsid w:val="00383D73"/>
    <w:rsid w:val="00385307"/>
    <w:rsid w:val="00385840"/>
    <w:rsid w:val="003A1368"/>
    <w:rsid w:val="003A32E2"/>
    <w:rsid w:val="003A6094"/>
    <w:rsid w:val="003A76BF"/>
    <w:rsid w:val="003B1F78"/>
    <w:rsid w:val="003C2005"/>
    <w:rsid w:val="003C2374"/>
    <w:rsid w:val="003C23E5"/>
    <w:rsid w:val="003C3FF9"/>
    <w:rsid w:val="003C7657"/>
    <w:rsid w:val="003C799C"/>
    <w:rsid w:val="003D13C5"/>
    <w:rsid w:val="003D56CB"/>
    <w:rsid w:val="003D6469"/>
    <w:rsid w:val="003E4AB0"/>
    <w:rsid w:val="003E5358"/>
    <w:rsid w:val="003E63ED"/>
    <w:rsid w:val="00402ACB"/>
    <w:rsid w:val="00413C74"/>
    <w:rsid w:val="00416B7F"/>
    <w:rsid w:val="004217BD"/>
    <w:rsid w:val="00423B47"/>
    <w:rsid w:val="00431F3C"/>
    <w:rsid w:val="00436F99"/>
    <w:rsid w:val="0043713D"/>
    <w:rsid w:val="00445BA0"/>
    <w:rsid w:val="00446F82"/>
    <w:rsid w:val="004644CA"/>
    <w:rsid w:val="00464A08"/>
    <w:rsid w:val="0047148E"/>
    <w:rsid w:val="00480668"/>
    <w:rsid w:val="00481F40"/>
    <w:rsid w:val="00492F77"/>
    <w:rsid w:val="0049334E"/>
    <w:rsid w:val="004A05F0"/>
    <w:rsid w:val="004A07D6"/>
    <w:rsid w:val="004A34A1"/>
    <w:rsid w:val="004A53B8"/>
    <w:rsid w:val="004A7109"/>
    <w:rsid w:val="004B1C2E"/>
    <w:rsid w:val="004B49C3"/>
    <w:rsid w:val="004B54A1"/>
    <w:rsid w:val="004C52DF"/>
    <w:rsid w:val="004C6005"/>
    <w:rsid w:val="004D5EB9"/>
    <w:rsid w:val="004D7CC0"/>
    <w:rsid w:val="004E311F"/>
    <w:rsid w:val="004E396B"/>
    <w:rsid w:val="004E5387"/>
    <w:rsid w:val="004E7CDC"/>
    <w:rsid w:val="004F7A91"/>
    <w:rsid w:val="0050152D"/>
    <w:rsid w:val="00510B8D"/>
    <w:rsid w:val="0051261A"/>
    <w:rsid w:val="00512EBF"/>
    <w:rsid w:val="00517F66"/>
    <w:rsid w:val="00522E5C"/>
    <w:rsid w:val="00526F93"/>
    <w:rsid w:val="00527677"/>
    <w:rsid w:val="0053689F"/>
    <w:rsid w:val="00540E23"/>
    <w:rsid w:val="00541E8A"/>
    <w:rsid w:val="00546FE6"/>
    <w:rsid w:val="00547F4A"/>
    <w:rsid w:val="005567E5"/>
    <w:rsid w:val="005621C1"/>
    <w:rsid w:val="00562883"/>
    <w:rsid w:val="00566F26"/>
    <w:rsid w:val="005671E0"/>
    <w:rsid w:val="00570F3A"/>
    <w:rsid w:val="00573EF7"/>
    <w:rsid w:val="005748EC"/>
    <w:rsid w:val="00576E60"/>
    <w:rsid w:val="00580A17"/>
    <w:rsid w:val="00581009"/>
    <w:rsid w:val="005827AB"/>
    <w:rsid w:val="00586042"/>
    <w:rsid w:val="00590880"/>
    <w:rsid w:val="0059529B"/>
    <w:rsid w:val="0059561A"/>
    <w:rsid w:val="005A239E"/>
    <w:rsid w:val="005A48F1"/>
    <w:rsid w:val="005A7867"/>
    <w:rsid w:val="005B2072"/>
    <w:rsid w:val="005C7B5F"/>
    <w:rsid w:val="005D1945"/>
    <w:rsid w:val="005D2627"/>
    <w:rsid w:val="005E36D3"/>
    <w:rsid w:val="005E5C10"/>
    <w:rsid w:val="005E7179"/>
    <w:rsid w:val="005F1441"/>
    <w:rsid w:val="005F2B24"/>
    <w:rsid w:val="005F54C1"/>
    <w:rsid w:val="005F6BC8"/>
    <w:rsid w:val="0060600E"/>
    <w:rsid w:val="00620502"/>
    <w:rsid w:val="006252ED"/>
    <w:rsid w:val="00626E01"/>
    <w:rsid w:val="00630CAE"/>
    <w:rsid w:val="00634980"/>
    <w:rsid w:val="00634E19"/>
    <w:rsid w:val="0064227B"/>
    <w:rsid w:val="0064397F"/>
    <w:rsid w:val="006441DE"/>
    <w:rsid w:val="00647476"/>
    <w:rsid w:val="00651BB5"/>
    <w:rsid w:val="00657207"/>
    <w:rsid w:val="0065724F"/>
    <w:rsid w:val="0065769A"/>
    <w:rsid w:val="00661E47"/>
    <w:rsid w:val="0066332B"/>
    <w:rsid w:val="006633E9"/>
    <w:rsid w:val="006668EF"/>
    <w:rsid w:val="00666AEB"/>
    <w:rsid w:val="00666BC5"/>
    <w:rsid w:val="00672812"/>
    <w:rsid w:val="00675C22"/>
    <w:rsid w:val="00683836"/>
    <w:rsid w:val="00685687"/>
    <w:rsid w:val="00690A07"/>
    <w:rsid w:val="006931B3"/>
    <w:rsid w:val="006A06C5"/>
    <w:rsid w:val="006A0A53"/>
    <w:rsid w:val="006A4265"/>
    <w:rsid w:val="006A4738"/>
    <w:rsid w:val="006A483C"/>
    <w:rsid w:val="006A60D4"/>
    <w:rsid w:val="006B0C89"/>
    <w:rsid w:val="006C1436"/>
    <w:rsid w:val="006C19CD"/>
    <w:rsid w:val="006C3292"/>
    <w:rsid w:val="006C3969"/>
    <w:rsid w:val="006D5BB2"/>
    <w:rsid w:val="006E78AF"/>
    <w:rsid w:val="006F2A33"/>
    <w:rsid w:val="006F36C0"/>
    <w:rsid w:val="006F4595"/>
    <w:rsid w:val="006F4683"/>
    <w:rsid w:val="006F6C1C"/>
    <w:rsid w:val="007007A3"/>
    <w:rsid w:val="0070405B"/>
    <w:rsid w:val="00705F33"/>
    <w:rsid w:val="00710226"/>
    <w:rsid w:val="0071069C"/>
    <w:rsid w:val="00714644"/>
    <w:rsid w:val="00714E88"/>
    <w:rsid w:val="00715B0B"/>
    <w:rsid w:val="0072307F"/>
    <w:rsid w:val="00725BFB"/>
    <w:rsid w:val="0072782D"/>
    <w:rsid w:val="00731424"/>
    <w:rsid w:val="0073364B"/>
    <w:rsid w:val="0074181F"/>
    <w:rsid w:val="0074298B"/>
    <w:rsid w:val="00747459"/>
    <w:rsid w:val="00747C52"/>
    <w:rsid w:val="0075010A"/>
    <w:rsid w:val="00765001"/>
    <w:rsid w:val="00766391"/>
    <w:rsid w:val="0077017E"/>
    <w:rsid w:val="007745EB"/>
    <w:rsid w:val="00777DF5"/>
    <w:rsid w:val="007843E6"/>
    <w:rsid w:val="00784A2D"/>
    <w:rsid w:val="0079333E"/>
    <w:rsid w:val="00793F61"/>
    <w:rsid w:val="00797FBE"/>
    <w:rsid w:val="007A5934"/>
    <w:rsid w:val="007A7EA3"/>
    <w:rsid w:val="007B33DF"/>
    <w:rsid w:val="007B543C"/>
    <w:rsid w:val="007B58D7"/>
    <w:rsid w:val="007C1612"/>
    <w:rsid w:val="007C1DE2"/>
    <w:rsid w:val="007D0C13"/>
    <w:rsid w:val="007E22BF"/>
    <w:rsid w:val="007E3998"/>
    <w:rsid w:val="007E5822"/>
    <w:rsid w:val="007E66F1"/>
    <w:rsid w:val="007E7F32"/>
    <w:rsid w:val="007F1345"/>
    <w:rsid w:val="007F234F"/>
    <w:rsid w:val="007F28CE"/>
    <w:rsid w:val="007F2DB3"/>
    <w:rsid w:val="007F3D08"/>
    <w:rsid w:val="007F4C47"/>
    <w:rsid w:val="007F5DE2"/>
    <w:rsid w:val="007F6402"/>
    <w:rsid w:val="00810A2D"/>
    <w:rsid w:val="008159F3"/>
    <w:rsid w:val="008234D2"/>
    <w:rsid w:val="00826D1E"/>
    <w:rsid w:val="00827B3B"/>
    <w:rsid w:val="00831D12"/>
    <w:rsid w:val="0083280C"/>
    <w:rsid w:val="008330D3"/>
    <w:rsid w:val="00836C35"/>
    <w:rsid w:val="008410D3"/>
    <w:rsid w:val="00843174"/>
    <w:rsid w:val="0084619B"/>
    <w:rsid w:val="00846C9B"/>
    <w:rsid w:val="00850643"/>
    <w:rsid w:val="00853E9F"/>
    <w:rsid w:val="00857592"/>
    <w:rsid w:val="0087064B"/>
    <w:rsid w:val="00871045"/>
    <w:rsid w:val="008761DD"/>
    <w:rsid w:val="0088197D"/>
    <w:rsid w:val="00882BC2"/>
    <w:rsid w:val="008835B1"/>
    <w:rsid w:val="00897DFC"/>
    <w:rsid w:val="00897EED"/>
    <w:rsid w:val="008A2CE8"/>
    <w:rsid w:val="008A4D76"/>
    <w:rsid w:val="008A6530"/>
    <w:rsid w:val="008A7324"/>
    <w:rsid w:val="008B1575"/>
    <w:rsid w:val="008B2C32"/>
    <w:rsid w:val="008B341C"/>
    <w:rsid w:val="008B766C"/>
    <w:rsid w:val="008C3D35"/>
    <w:rsid w:val="008C5E58"/>
    <w:rsid w:val="008C7C38"/>
    <w:rsid w:val="008D3E25"/>
    <w:rsid w:val="008E1C9A"/>
    <w:rsid w:val="008E29B5"/>
    <w:rsid w:val="008E533C"/>
    <w:rsid w:val="008E7D43"/>
    <w:rsid w:val="008F4665"/>
    <w:rsid w:val="008F48ED"/>
    <w:rsid w:val="008F5B21"/>
    <w:rsid w:val="00904617"/>
    <w:rsid w:val="00907442"/>
    <w:rsid w:val="00907E8D"/>
    <w:rsid w:val="009105D4"/>
    <w:rsid w:val="00917AF8"/>
    <w:rsid w:val="00924A1F"/>
    <w:rsid w:val="00927013"/>
    <w:rsid w:val="00932B83"/>
    <w:rsid w:val="0093675B"/>
    <w:rsid w:val="009411FA"/>
    <w:rsid w:val="00951EC0"/>
    <w:rsid w:val="00955541"/>
    <w:rsid w:val="00956979"/>
    <w:rsid w:val="009601D0"/>
    <w:rsid w:val="00961684"/>
    <w:rsid w:val="0096228F"/>
    <w:rsid w:val="00967B9B"/>
    <w:rsid w:val="0097309C"/>
    <w:rsid w:val="00977D42"/>
    <w:rsid w:val="009805A7"/>
    <w:rsid w:val="00982448"/>
    <w:rsid w:val="009851B0"/>
    <w:rsid w:val="009859CC"/>
    <w:rsid w:val="00986E97"/>
    <w:rsid w:val="00987D19"/>
    <w:rsid w:val="0099357D"/>
    <w:rsid w:val="00994284"/>
    <w:rsid w:val="009A360B"/>
    <w:rsid w:val="009A6835"/>
    <w:rsid w:val="009A79C3"/>
    <w:rsid w:val="009B229E"/>
    <w:rsid w:val="009B3058"/>
    <w:rsid w:val="009B4835"/>
    <w:rsid w:val="009B63BE"/>
    <w:rsid w:val="009B7FEB"/>
    <w:rsid w:val="009C2010"/>
    <w:rsid w:val="009C32FE"/>
    <w:rsid w:val="009D22B8"/>
    <w:rsid w:val="009D3999"/>
    <w:rsid w:val="009D5B83"/>
    <w:rsid w:val="009D7253"/>
    <w:rsid w:val="009E18D2"/>
    <w:rsid w:val="009E269D"/>
    <w:rsid w:val="009F4456"/>
    <w:rsid w:val="009F6DB8"/>
    <w:rsid w:val="009F6E22"/>
    <w:rsid w:val="00A01C33"/>
    <w:rsid w:val="00A053FC"/>
    <w:rsid w:val="00A06224"/>
    <w:rsid w:val="00A0711D"/>
    <w:rsid w:val="00A1210E"/>
    <w:rsid w:val="00A1607B"/>
    <w:rsid w:val="00A22266"/>
    <w:rsid w:val="00A24355"/>
    <w:rsid w:val="00A331B7"/>
    <w:rsid w:val="00A33C57"/>
    <w:rsid w:val="00A344AD"/>
    <w:rsid w:val="00A34B4A"/>
    <w:rsid w:val="00A512FE"/>
    <w:rsid w:val="00A55D75"/>
    <w:rsid w:val="00A5707B"/>
    <w:rsid w:val="00A57F4D"/>
    <w:rsid w:val="00A60BC7"/>
    <w:rsid w:val="00A60FE0"/>
    <w:rsid w:val="00A612FF"/>
    <w:rsid w:val="00A61579"/>
    <w:rsid w:val="00A6556C"/>
    <w:rsid w:val="00A65D45"/>
    <w:rsid w:val="00A65F74"/>
    <w:rsid w:val="00A70793"/>
    <w:rsid w:val="00A752A6"/>
    <w:rsid w:val="00A76150"/>
    <w:rsid w:val="00A764F9"/>
    <w:rsid w:val="00A76B0A"/>
    <w:rsid w:val="00A80EE4"/>
    <w:rsid w:val="00A90B64"/>
    <w:rsid w:val="00A93401"/>
    <w:rsid w:val="00A94678"/>
    <w:rsid w:val="00A954BC"/>
    <w:rsid w:val="00AA19FD"/>
    <w:rsid w:val="00AA1D0B"/>
    <w:rsid w:val="00AA1DE5"/>
    <w:rsid w:val="00AA22F4"/>
    <w:rsid w:val="00AA7A1F"/>
    <w:rsid w:val="00AB5D18"/>
    <w:rsid w:val="00AB7062"/>
    <w:rsid w:val="00AC1A39"/>
    <w:rsid w:val="00AC1CB4"/>
    <w:rsid w:val="00AC3259"/>
    <w:rsid w:val="00AC70F1"/>
    <w:rsid w:val="00AC791E"/>
    <w:rsid w:val="00AD09DB"/>
    <w:rsid w:val="00AD1028"/>
    <w:rsid w:val="00AD2537"/>
    <w:rsid w:val="00AD2E49"/>
    <w:rsid w:val="00AD581D"/>
    <w:rsid w:val="00AD5DE9"/>
    <w:rsid w:val="00AE1CB5"/>
    <w:rsid w:val="00AE22AF"/>
    <w:rsid w:val="00AE2465"/>
    <w:rsid w:val="00AE6A08"/>
    <w:rsid w:val="00AE7418"/>
    <w:rsid w:val="00AE769F"/>
    <w:rsid w:val="00AF29F9"/>
    <w:rsid w:val="00AF3E7F"/>
    <w:rsid w:val="00B044C3"/>
    <w:rsid w:val="00B048AF"/>
    <w:rsid w:val="00B13BD1"/>
    <w:rsid w:val="00B13FE5"/>
    <w:rsid w:val="00B1746E"/>
    <w:rsid w:val="00B17826"/>
    <w:rsid w:val="00B20A50"/>
    <w:rsid w:val="00B21C2D"/>
    <w:rsid w:val="00B22DE2"/>
    <w:rsid w:val="00B33FE2"/>
    <w:rsid w:val="00B35C56"/>
    <w:rsid w:val="00B40C6B"/>
    <w:rsid w:val="00B4127A"/>
    <w:rsid w:val="00B43CD7"/>
    <w:rsid w:val="00B45C05"/>
    <w:rsid w:val="00B46FD6"/>
    <w:rsid w:val="00B535A6"/>
    <w:rsid w:val="00B603EF"/>
    <w:rsid w:val="00B63279"/>
    <w:rsid w:val="00B64FCD"/>
    <w:rsid w:val="00B6691D"/>
    <w:rsid w:val="00B70426"/>
    <w:rsid w:val="00B7498A"/>
    <w:rsid w:val="00B827E0"/>
    <w:rsid w:val="00B83356"/>
    <w:rsid w:val="00B87A05"/>
    <w:rsid w:val="00B91A3B"/>
    <w:rsid w:val="00B93E94"/>
    <w:rsid w:val="00B94629"/>
    <w:rsid w:val="00B9707D"/>
    <w:rsid w:val="00B97A2C"/>
    <w:rsid w:val="00BA59BE"/>
    <w:rsid w:val="00BB0581"/>
    <w:rsid w:val="00BB09E4"/>
    <w:rsid w:val="00BB0D8A"/>
    <w:rsid w:val="00BB347C"/>
    <w:rsid w:val="00BB3855"/>
    <w:rsid w:val="00BB4AE4"/>
    <w:rsid w:val="00BB70B7"/>
    <w:rsid w:val="00BB7D55"/>
    <w:rsid w:val="00BC3584"/>
    <w:rsid w:val="00BD73B8"/>
    <w:rsid w:val="00BE2704"/>
    <w:rsid w:val="00BE3302"/>
    <w:rsid w:val="00BE5308"/>
    <w:rsid w:val="00BE61EC"/>
    <w:rsid w:val="00C000A8"/>
    <w:rsid w:val="00C00D6D"/>
    <w:rsid w:val="00C040CB"/>
    <w:rsid w:val="00C04CF2"/>
    <w:rsid w:val="00C07864"/>
    <w:rsid w:val="00C11E22"/>
    <w:rsid w:val="00C235F2"/>
    <w:rsid w:val="00C27D7A"/>
    <w:rsid w:val="00C30A71"/>
    <w:rsid w:val="00C430C5"/>
    <w:rsid w:val="00C441CC"/>
    <w:rsid w:val="00C45225"/>
    <w:rsid w:val="00C476AD"/>
    <w:rsid w:val="00C47B94"/>
    <w:rsid w:val="00C47EEA"/>
    <w:rsid w:val="00C51ECC"/>
    <w:rsid w:val="00C56931"/>
    <w:rsid w:val="00C57407"/>
    <w:rsid w:val="00C621F0"/>
    <w:rsid w:val="00C62946"/>
    <w:rsid w:val="00C703CB"/>
    <w:rsid w:val="00C70FFA"/>
    <w:rsid w:val="00C75E9B"/>
    <w:rsid w:val="00C769F2"/>
    <w:rsid w:val="00C77876"/>
    <w:rsid w:val="00C81975"/>
    <w:rsid w:val="00C81E71"/>
    <w:rsid w:val="00C9080C"/>
    <w:rsid w:val="00C957BA"/>
    <w:rsid w:val="00C96567"/>
    <w:rsid w:val="00CA5426"/>
    <w:rsid w:val="00CB00C2"/>
    <w:rsid w:val="00CB3385"/>
    <w:rsid w:val="00CB51C3"/>
    <w:rsid w:val="00CB77E2"/>
    <w:rsid w:val="00CC1B61"/>
    <w:rsid w:val="00CC660B"/>
    <w:rsid w:val="00CD23D4"/>
    <w:rsid w:val="00CD7656"/>
    <w:rsid w:val="00CE3179"/>
    <w:rsid w:val="00CE3C6E"/>
    <w:rsid w:val="00CE58E0"/>
    <w:rsid w:val="00CE6FCE"/>
    <w:rsid w:val="00CF0DBF"/>
    <w:rsid w:val="00CF408F"/>
    <w:rsid w:val="00D00F5B"/>
    <w:rsid w:val="00D01E1E"/>
    <w:rsid w:val="00D021A6"/>
    <w:rsid w:val="00D0705F"/>
    <w:rsid w:val="00D075E0"/>
    <w:rsid w:val="00D107A3"/>
    <w:rsid w:val="00D131EC"/>
    <w:rsid w:val="00D2250D"/>
    <w:rsid w:val="00D229F7"/>
    <w:rsid w:val="00D22BF2"/>
    <w:rsid w:val="00D30C78"/>
    <w:rsid w:val="00D34B95"/>
    <w:rsid w:val="00D34CA6"/>
    <w:rsid w:val="00D36EA0"/>
    <w:rsid w:val="00D43EBA"/>
    <w:rsid w:val="00D457F6"/>
    <w:rsid w:val="00D461FB"/>
    <w:rsid w:val="00D506E4"/>
    <w:rsid w:val="00D50A5C"/>
    <w:rsid w:val="00D53690"/>
    <w:rsid w:val="00D53BD9"/>
    <w:rsid w:val="00D55B03"/>
    <w:rsid w:val="00D61F5D"/>
    <w:rsid w:val="00D65564"/>
    <w:rsid w:val="00D65F2C"/>
    <w:rsid w:val="00D66091"/>
    <w:rsid w:val="00D71BEE"/>
    <w:rsid w:val="00D756D3"/>
    <w:rsid w:val="00D81422"/>
    <w:rsid w:val="00D82973"/>
    <w:rsid w:val="00D84E44"/>
    <w:rsid w:val="00D86B71"/>
    <w:rsid w:val="00D87933"/>
    <w:rsid w:val="00D90283"/>
    <w:rsid w:val="00D90D7C"/>
    <w:rsid w:val="00D923B0"/>
    <w:rsid w:val="00D958D3"/>
    <w:rsid w:val="00D95BD3"/>
    <w:rsid w:val="00D95C3F"/>
    <w:rsid w:val="00DA05B3"/>
    <w:rsid w:val="00DA3D1A"/>
    <w:rsid w:val="00DA3E5A"/>
    <w:rsid w:val="00DA4545"/>
    <w:rsid w:val="00DA7E92"/>
    <w:rsid w:val="00DB02DE"/>
    <w:rsid w:val="00DC4441"/>
    <w:rsid w:val="00DE2545"/>
    <w:rsid w:val="00DE585C"/>
    <w:rsid w:val="00DE6443"/>
    <w:rsid w:val="00DE6AAA"/>
    <w:rsid w:val="00DF73B0"/>
    <w:rsid w:val="00E038B6"/>
    <w:rsid w:val="00E21035"/>
    <w:rsid w:val="00E2250A"/>
    <w:rsid w:val="00E2258E"/>
    <w:rsid w:val="00E235C2"/>
    <w:rsid w:val="00E30FB5"/>
    <w:rsid w:val="00E311D7"/>
    <w:rsid w:val="00E35183"/>
    <w:rsid w:val="00E3524A"/>
    <w:rsid w:val="00E367D6"/>
    <w:rsid w:val="00E46C3B"/>
    <w:rsid w:val="00E528C0"/>
    <w:rsid w:val="00E62417"/>
    <w:rsid w:val="00E6323A"/>
    <w:rsid w:val="00E6484F"/>
    <w:rsid w:val="00E65467"/>
    <w:rsid w:val="00E65562"/>
    <w:rsid w:val="00E66CED"/>
    <w:rsid w:val="00E728A9"/>
    <w:rsid w:val="00E73AE0"/>
    <w:rsid w:val="00E77006"/>
    <w:rsid w:val="00E9122E"/>
    <w:rsid w:val="00E91E73"/>
    <w:rsid w:val="00E94767"/>
    <w:rsid w:val="00EB223C"/>
    <w:rsid w:val="00EC0D16"/>
    <w:rsid w:val="00EC2616"/>
    <w:rsid w:val="00EC4332"/>
    <w:rsid w:val="00EC444D"/>
    <w:rsid w:val="00ED0515"/>
    <w:rsid w:val="00EE0AAB"/>
    <w:rsid w:val="00EE7A7C"/>
    <w:rsid w:val="00EF1C19"/>
    <w:rsid w:val="00EF2B6E"/>
    <w:rsid w:val="00F00291"/>
    <w:rsid w:val="00F014C9"/>
    <w:rsid w:val="00F059BA"/>
    <w:rsid w:val="00F13894"/>
    <w:rsid w:val="00F14097"/>
    <w:rsid w:val="00F21572"/>
    <w:rsid w:val="00F21CB7"/>
    <w:rsid w:val="00F228FD"/>
    <w:rsid w:val="00F3086D"/>
    <w:rsid w:val="00F30AB9"/>
    <w:rsid w:val="00F42CB2"/>
    <w:rsid w:val="00F4493B"/>
    <w:rsid w:val="00F610BA"/>
    <w:rsid w:val="00F6166A"/>
    <w:rsid w:val="00F75E1A"/>
    <w:rsid w:val="00F77A25"/>
    <w:rsid w:val="00F801A4"/>
    <w:rsid w:val="00F844FC"/>
    <w:rsid w:val="00F84C33"/>
    <w:rsid w:val="00F865E8"/>
    <w:rsid w:val="00F87283"/>
    <w:rsid w:val="00F91DB1"/>
    <w:rsid w:val="00F923BE"/>
    <w:rsid w:val="00F92B8A"/>
    <w:rsid w:val="00F96BAC"/>
    <w:rsid w:val="00FA5E36"/>
    <w:rsid w:val="00FA6091"/>
    <w:rsid w:val="00FA741F"/>
    <w:rsid w:val="00FB0458"/>
    <w:rsid w:val="00FB1F47"/>
    <w:rsid w:val="00FB5E70"/>
    <w:rsid w:val="00FC2128"/>
    <w:rsid w:val="00FD09DD"/>
    <w:rsid w:val="00FD14DB"/>
    <w:rsid w:val="00FD1DCC"/>
    <w:rsid w:val="00FD2B0D"/>
    <w:rsid w:val="00FD61D1"/>
    <w:rsid w:val="00FD678C"/>
    <w:rsid w:val="00FE7E11"/>
    <w:rsid w:val="00FF6002"/>
    <w:rsid w:val="0F825C2F"/>
    <w:rsid w:val="1A4D5D01"/>
    <w:rsid w:val="1FE27D8D"/>
    <w:rsid w:val="2415691F"/>
    <w:rsid w:val="2C7E15C3"/>
    <w:rsid w:val="328056BC"/>
    <w:rsid w:val="35D94C6B"/>
    <w:rsid w:val="3B8E5F50"/>
    <w:rsid w:val="3E4C44DE"/>
    <w:rsid w:val="49B30F3C"/>
    <w:rsid w:val="4C0C156C"/>
    <w:rsid w:val="50AC4698"/>
    <w:rsid w:val="54C53D7A"/>
    <w:rsid w:val="5F16605C"/>
    <w:rsid w:val="65341598"/>
    <w:rsid w:val="66965C3A"/>
    <w:rsid w:val="6C6A468F"/>
    <w:rsid w:val="6E48015A"/>
    <w:rsid w:val="6ED808E5"/>
    <w:rsid w:val="7707473F"/>
    <w:rsid w:val="770C0643"/>
    <w:rsid w:val="791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ascii="宋体" w:hAnsi="Courier New"/>
    </w:rPr>
  </w:style>
  <w:style w:type="paragraph" w:styleId="3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8">
    <w:name w:val="Hyperlink"/>
    <w:basedOn w:val="7"/>
    <w:uiPriority w:val="0"/>
    <w:rPr>
      <w:color w:val="0000FF"/>
      <w:u w:val="single"/>
    </w:rPr>
  </w:style>
  <w:style w:type="table" w:customStyle="1" w:styleId="9">
    <w:name w:val="Plain Table 3"/>
    <w:basedOn w:val="5"/>
    <w:qFormat/>
    <w:uiPriority w:val="43"/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10">
    <w:name w:val="Plain Table 4"/>
    <w:basedOn w:val="5"/>
    <w:qFormat/>
    <w:uiPriority w:val="44"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1">
    <w:name w:val="List Table 1 Light"/>
    <w:basedOn w:val="5"/>
    <w:qFormat/>
    <w:uiPriority w:val="46"/>
    <w:tblStylePr w:type="firstRow">
      <w:rPr>
        <w:b/>
        <w:bCs/>
      </w:rPr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12">
    <w:name w:val="Grid Table 1 Light Accent 3"/>
    <w:basedOn w:val="5"/>
    <w:qFormat/>
    <w:uiPriority w:val="46"/>
    <w:tblPr>
      <w:tblBorders>
        <w:top w:val="single" w:color="DADADA" w:themeColor="accent3" w:themeTint="66" w:sz="4" w:space="0"/>
        <w:left w:val="single" w:color="DADADA" w:themeColor="accent3" w:themeTint="66" w:sz="4" w:space="0"/>
        <w:bottom w:val="single" w:color="DADADA" w:themeColor="accent3" w:themeTint="66" w:sz="4" w:space="0"/>
        <w:right w:val="single" w:color="DADADA" w:themeColor="accent3" w:themeTint="66" w:sz="4" w:space="0"/>
        <w:insideH w:val="single" w:color="DADADA" w:themeColor="accent3" w:themeTint="66" w:sz="4" w:space="0"/>
        <w:insideV w:val="single" w:color="DADADA" w:themeColor="accent3" w:themeTint="66" w:sz="4" w:space="0"/>
      </w:tblBorders>
      <w:tblLayout w:type="fixed"/>
    </w:tblPr>
    <w:tblStylePr w:type="firstRow">
      <w:rPr>
        <w:b/>
        <w:bCs/>
      </w:rPr>
      <w:tcPr>
        <w:tcBorders>
          <w:bottom w:val="single" w:color="C8C8C8" w:themeColor="accent3" w:themeTint="99" w:sz="12" w:space="0"/>
        </w:tcBorders>
      </w:tcPr>
    </w:tblStylePr>
    <w:tblStylePr w:type="lastRow">
      <w:rPr>
        <w:b/>
        <w:bCs/>
      </w:rPr>
      <w:tcPr>
        <w:tcBorders>
          <w:top w:val="double" w:color="C8C8C8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Grid Table 5 Dark Accent 3"/>
    <w:basedOn w:val="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14">
    <w:name w:val="Grid Table 2 Accent 3"/>
    <w:basedOn w:val="5"/>
    <w:qFormat/>
    <w:uiPriority w:val="47"/>
    <w:tblPr>
      <w:tblBorders>
        <w:top w:val="single" w:color="C8C8C8" w:themeColor="accent3" w:themeTint="99" w:sz="2" w:space="0"/>
        <w:bottom w:val="single" w:color="C8C8C8" w:themeColor="accent3" w:themeTint="99" w:sz="2" w:space="0"/>
        <w:insideH w:val="single" w:color="C8C8C8" w:themeColor="accent3" w:themeTint="99" w:sz="2" w:space="0"/>
        <w:insideV w:val="single" w:color="C8C8C8" w:themeColor="accent3" w:themeTint="99" w:sz="2" w:space="0"/>
      </w:tblBorders>
      <w:tblLayout w:type="fixed"/>
    </w:tblPr>
    <w:tblStylePr w:type="firstRow">
      <w:rPr>
        <w:b/>
        <w:bCs/>
      </w:rPr>
      <w:tcPr>
        <w:tcBorders>
          <w:top w:val="nil"/>
          <w:bottom w:val="single" w:color="C8C8C8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C8C8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7">
    <w:name w:val="页脚 字符"/>
    <w:basedOn w:val="7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hart" Target="charts/chart4.xml"/><Relationship Id="rId8" Type="http://schemas.openxmlformats.org/officeDocument/2006/relationships/chart" Target="charts/chart3.xml"/><Relationship Id="rId7" Type="http://schemas.openxmlformats.org/officeDocument/2006/relationships/chart" Target="charts/chart2.xml"/><Relationship Id="rId6" Type="http://schemas.openxmlformats.org/officeDocument/2006/relationships/image" Target="media/image2.png"/><Relationship Id="rId5" Type="http://schemas.openxmlformats.org/officeDocument/2006/relationships/chart" Target="charts/chart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oleObject" Target="&#24037;&#20316;&#31807;2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&#24037;&#20316;&#31807;2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&#24037;&#20316;&#31807;2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&#24037;&#20316;&#31807;2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t>主动公开政府权责清单</a:t>
            </a:r>
          </a:p>
        </c:rich>
      </c:tx>
      <c:layout>
        <c:manualLayout>
          <c:xMode val="edge"/>
          <c:yMode val="edge"/>
          <c:x val="0.304661487236404"/>
          <c:y val="0.050193648334624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305555555555556"/>
          <c:y val="0.190277777777778"/>
          <c:w val="0.731388888888889"/>
          <c:h val="0.761574074074074"/>
        </c:manualLayout>
      </c:layout>
      <c:ofPieChart>
        <c:ofPieType val="pie"/>
        <c:varyColors val="1"/>
        <c:ser>
          <c:idx val="0"/>
          <c:order val="0"/>
          <c:spPr/>
          <c:explosion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explosion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gradFill>
                <a:gsLst>
                  <a:gs pos="100000">
                    <a:schemeClr val="accent3">
                      <a:lumMod val="60000"/>
                      <a:lumMod val="60000"/>
                      <a:lumOff val="40000"/>
                    </a:schemeClr>
                  </a:gs>
                  <a:gs pos="0">
                    <a:schemeClr val="accent3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gradFill>
                <a:gsLst>
                  <a:gs pos="100000">
                    <a:schemeClr val="accent4">
                      <a:lumMod val="60000"/>
                      <a:lumMod val="60000"/>
                      <a:lumOff val="40000"/>
                    </a:schemeClr>
                  </a:gs>
                  <a:gs pos="0">
                    <a:schemeClr val="accent4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gradFill>
                <a:gsLst>
                  <a:gs pos="100000">
                    <a:schemeClr val="accent5">
                      <a:lumMod val="60000"/>
                      <a:lumMod val="60000"/>
                      <a:lumOff val="40000"/>
                    </a:schemeClr>
                  </a:gs>
                  <a:gs pos="0">
                    <a:schemeClr val="accent5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gradFill>
                <a:gsLst>
                  <a:gs pos="100000">
                    <a:schemeClr val="accent6">
                      <a:lumMod val="60000"/>
                      <a:lumMod val="60000"/>
                      <a:lumOff val="40000"/>
                    </a:schemeClr>
                  </a:gs>
                  <a:gs pos="0">
                    <a:schemeClr val="accent6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[工作簿2]Sheet1!$C$59:$C$69</c:f>
              <c:strCache>
                <c:ptCount val="11"/>
                <c:pt idx="0">
                  <c:v>行政处罚</c:v>
                </c:pt>
                <c:pt idx="1">
                  <c:v>行政检查</c:v>
                </c:pt>
                <c:pt idx="2">
                  <c:v>行政确认</c:v>
                </c:pt>
                <c:pt idx="3">
                  <c:v>行政许可事项</c:v>
                </c:pt>
                <c:pt idx="4">
                  <c:v>公共服务事项</c:v>
                </c:pt>
                <c:pt idx="5">
                  <c:v>其它行政权力</c:v>
                </c:pt>
                <c:pt idx="6">
                  <c:v>行政强制事项</c:v>
                </c:pt>
                <c:pt idx="7">
                  <c:v>行政奖励</c:v>
                </c:pt>
                <c:pt idx="8">
                  <c:v>行政征收事项</c:v>
                </c:pt>
                <c:pt idx="9">
                  <c:v>联办事项</c:v>
                </c:pt>
                <c:pt idx="10">
                  <c:v>行政给付</c:v>
                </c:pt>
              </c:strCache>
            </c:strRef>
          </c:cat>
          <c:val>
            <c:numRef>
              <c:f>[工作簿2]Sheet1!$D$59:$D$69</c:f>
              <c:numCache>
                <c:formatCode>General</c:formatCode>
                <c:ptCount val="11"/>
                <c:pt idx="0">
                  <c:v>318</c:v>
                </c:pt>
                <c:pt idx="1">
                  <c:v>295</c:v>
                </c:pt>
                <c:pt idx="2">
                  <c:v>113</c:v>
                </c:pt>
                <c:pt idx="3">
                  <c:v>56</c:v>
                </c:pt>
                <c:pt idx="4">
                  <c:v>36</c:v>
                </c:pt>
                <c:pt idx="5">
                  <c:v>16</c:v>
                </c:pt>
                <c:pt idx="6">
                  <c:v>11</c:v>
                </c:pt>
                <c:pt idx="7">
                  <c:v>7</c:v>
                </c:pt>
                <c:pt idx="8">
                  <c:v>5</c:v>
                </c:pt>
                <c:pt idx="9">
                  <c:v>4</c:v>
                </c:pt>
                <c:pt idx="1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gapWidth val="100"/>
        <c:secondPieSize val="75"/>
        <c:serLines>
          <c:spPr>
            <a:ln w="9525" cap="flat" cmpd="sng" algn="ctr">
              <a:solidFill>
                <a:schemeClr val="dk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sz="1600"/>
              <a:t>市资规局依申请公开申请量（</a:t>
            </a:r>
            <a:r>
              <a:rPr lang="en-US" altLang="zh-CN" sz="1600"/>
              <a:t>2016-2021</a:t>
            </a:r>
            <a:r>
              <a:rPr sz="1600"/>
              <a:t>）</a:t>
            </a:r>
            <a:endParaRPr sz="1600"/>
          </a:p>
        </c:rich>
      </c:tx>
      <c:layout>
        <c:manualLayout>
          <c:xMode val="edge"/>
          <c:yMode val="edge"/>
          <c:x val="0.135542168674699"/>
          <c:y val="0.032329317269076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[工作簿2]Sheet1!$A$2:$A$7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[工作簿2]Sheet1!$B$2:$B$7</c:f>
              <c:numCache>
                <c:formatCode>General</c:formatCode>
                <c:ptCount val="6"/>
                <c:pt idx="0">
                  <c:v>171</c:v>
                </c:pt>
                <c:pt idx="1">
                  <c:v>53</c:v>
                </c:pt>
                <c:pt idx="2">
                  <c:v>97</c:v>
                </c:pt>
                <c:pt idx="3">
                  <c:v>103</c:v>
                </c:pt>
                <c:pt idx="4">
                  <c:v>120</c:v>
                </c:pt>
                <c:pt idx="5">
                  <c:v>77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88770173"/>
        <c:axId val="447394647"/>
      </c:lineChart>
      <c:catAx>
        <c:axId val="288770173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447394647"/>
        <c:crosses val="autoZero"/>
        <c:auto val="1"/>
        <c:lblAlgn val="ctr"/>
        <c:lblOffset val="100"/>
        <c:noMultiLvlLbl val="0"/>
      </c:catAx>
      <c:valAx>
        <c:axId val="447394647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8877017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t>2021年依申请公开各申请途径占比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effectLst/>
      </c:spPr>
    </c:floor>
    <c:sideWall>
      <c:thickness val="0"/>
      <c:spPr>
        <a:noFill/>
        <a:effectLst/>
      </c:spPr>
    </c:sideWall>
    <c:backWall>
      <c:thickness val="0"/>
      <c:spPr>
        <a:noFill/>
        <a:effectLst/>
      </c:spPr>
    </c:backWall>
    <c:plotArea>
      <c:layout/>
      <c:pie3D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contourW="9525"/>
          </c:spPr>
          <c:explosion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 contourW="9525"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 contourW="9525"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 contourW="9525"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[工作簿2]Sheet1!$B$19:$B$21</c:f>
              <c:strCache>
                <c:ptCount val="3"/>
                <c:pt idx="0">
                  <c:v>网络申请</c:v>
                </c:pt>
                <c:pt idx="1">
                  <c:v>现场申请</c:v>
                </c:pt>
                <c:pt idx="2">
                  <c:v>邮寄申请</c:v>
                </c:pt>
              </c:strCache>
            </c:strRef>
          </c:cat>
          <c:val>
            <c:numRef>
              <c:f>[工作簿2]Sheet1!$C$19:$C$21</c:f>
              <c:numCache>
                <c:formatCode>General</c:formatCode>
                <c:ptCount val="3"/>
                <c:pt idx="0">
                  <c:v>35</c:v>
                </c:pt>
                <c:pt idx="1">
                  <c:v>16</c:v>
                </c:pt>
                <c:pt idx="2">
                  <c:v>26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0"/>
          <c:showBubbleSize val="0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t>2021年依申请公开申请内容</a:t>
            </a:r>
          </a:p>
        </c:rich>
      </c:tx>
      <c:layout>
        <c:manualLayout>
          <c:xMode val="edge"/>
          <c:yMode val="edge"/>
          <c:x val="0.213888888888888"/>
          <c:y val="0.0715277777777777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effectLst/>
      </c:spPr>
    </c:floor>
    <c:sideWall>
      <c:thickness val="0"/>
      <c:spPr>
        <a:noFill/>
        <a:effectLst/>
      </c:spPr>
    </c:sideWall>
    <c:backWall>
      <c:thickness val="0"/>
      <c:spPr>
        <a:noFill/>
        <a:effectLst/>
      </c:spPr>
    </c:backWall>
    <c:plotArea>
      <c:layout/>
      <c:pie3D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contourW="9525"/>
          </c:spPr>
          <c:explosion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9525"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9525"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9525"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9525"/>
            </c:spPr>
          </c:dPt>
          <c:dLbls>
            <c:dLbl>
              <c:idx val="0"/>
              <c:layout/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/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[工作簿2]Sheet1!$B$41:$B$44</c:f>
              <c:strCache>
                <c:ptCount val="4"/>
                <c:pt idx="0">
                  <c:v>规划类</c:v>
                </c:pt>
                <c:pt idx="1">
                  <c:v>行政处罚类</c:v>
                </c:pt>
                <c:pt idx="2">
                  <c:v>征地类</c:v>
                </c:pt>
                <c:pt idx="3">
                  <c:v>其它</c:v>
                </c:pt>
              </c:strCache>
            </c:strRef>
          </c:cat>
          <c:val>
            <c:numRef>
              <c:f>[工作簿2]Sheet1!$C$41:$C$44</c:f>
              <c:numCache>
                <c:formatCode>General</c:formatCode>
                <c:ptCount val="4"/>
                <c:pt idx="0">
                  <c:v>30</c:v>
                </c:pt>
                <c:pt idx="1">
                  <c:v>4</c:v>
                </c:pt>
                <c:pt idx="2">
                  <c:v>10</c:v>
                </c:pt>
                <c:pt idx="3">
                  <c:v>33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0"/>
          <c:showBubbleSize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37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595</Words>
  <Characters>3395</Characters>
  <Lines>28</Lines>
  <Paragraphs>7</Paragraphs>
  <TotalTime>204</TotalTime>
  <ScaleCrop>false</ScaleCrop>
  <LinksUpToDate>false</LinksUpToDate>
  <CharactersWithSpaces>3983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2019-12-16T05:52:00Z</dcterms:created>
  <dc:creator>蒋志强</dc:creator>
  <cp:lastModifiedBy>rex</cp:lastModifiedBy>
  <dcterms:modified xsi:type="dcterms:W3CDTF">2021-12-31T08:56:01Z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