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余姚</w:t>
      </w:r>
      <w:r>
        <w:rPr>
          <w:rFonts w:hint="eastAsia" w:ascii="方正小标宋简体" w:eastAsia="方正小标宋简体"/>
          <w:sz w:val="44"/>
          <w:szCs w:val="44"/>
        </w:rPr>
        <w:t>市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人民政府办公室</w:t>
      </w: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1</w:t>
      </w:r>
      <w:r>
        <w:rPr>
          <w:rFonts w:hint="eastAsia" w:ascii="方正小标宋简体" w:eastAsia="方正小标宋简体"/>
          <w:sz w:val="44"/>
          <w:szCs w:val="44"/>
        </w:rPr>
        <w:t>年政府信息公开工作年度报告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年度报告根据《中华人民共和国政府信息公开条例》（国务院令第711号，以下简称《条例》）编制。全文包括总体情况、主动公开政府信息情况、收到和处理政府信息公开申请情况、因政府信息公开工作被申请行政复议和提起行政诉讼情况、政府信息公开工作存在的主要问题及改进情况、其他需要报告的事项等六部分。本年度报告中所列数据统计期限从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年1月1日起至202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年12月31日止。</w:t>
      </w:r>
    </w:p>
    <w:p>
      <w:pPr>
        <w:spacing w:line="600" w:lineRule="exact"/>
        <w:ind w:firstLine="640" w:firstLineChars="200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  <w:lang w:eastAsia="zh-CN"/>
        </w:rPr>
        <w:t>（</w:t>
      </w:r>
      <w:r>
        <w:rPr>
          <w:rFonts w:hint="eastAsia" w:ascii="黑体" w:eastAsia="黑体"/>
          <w:sz w:val="32"/>
          <w:szCs w:val="32"/>
        </w:rPr>
        <w:t>一</w:t>
      </w:r>
      <w:r>
        <w:rPr>
          <w:rFonts w:hint="eastAsia" w:ascii="黑体" w:eastAsia="黑体"/>
          <w:sz w:val="32"/>
          <w:szCs w:val="32"/>
          <w:lang w:eastAsia="zh-CN"/>
        </w:rPr>
        <w:t>）</w:t>
      </w:r>
      <w:r>
        <w:rPr>
          <w:rFonts w:hint="eastAsia" w:ascii="黑体" w:eastAsia="黑体"/>
          <w:sz w:val="32"/>
          <w:szCs w:val="32"/>
        </w:rPr>
        <w:t>、总体情况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年，</w:t>
      </w:r>
      <w:r>
        <w:rPr>
          <w:rFonts w:hint="eastAsia" w:ascii="仿宋_GB2312" w:eastAsia="仿宋_GB2312"/>
          <w:sz w:val="32"/>
          <w:szCs w:val="32"/>
          <w:lang w:eastAsia="zh-CN"/>
        </w:rPr>
        <w:t>余姚</w:t>
      </w:r>
      <w:r>
        <w:rPr>
          <w:rFonts w:hint="eastAsia" w:ascii="仿宋_GB2312" w:eastAsia="仿宋_GB2312"/>
          <w:sz w:val="32"/>
          <w:szCs w:val="32"/>
        </w:rPr>
        <w:t>市人民政府</w:t>
      </w:r>
      <w:r>
        <w:rPr>
          <w:rFonts w:hint="eastAsia" w:ascii="仿宋_GB2312" w:eastAsia="仿宋_GB2312"/>
          <w:sz w:val="32"/>
          <w:szCs w:val="32"/>
          <w:lang w:eastAsia="zh-CN"/>
        </w:rPr>
        <w:t>办公室</w:t>
      </w:r>
      <w:r>
        <w:rPr>
          <w:rFonts w:hint="eastAsia" w:ascii="仿宋_GB2312" w:eastAsia="仿宋_GB2312"/>
          <w:sz w:val="32"/>
          <w:szCs w:val="32"/>
        </w:rPr>
        <w:t>以党的十九大和十九届</w:t>
      </w:r>
      <w:r>
        <w:rPr>
          <w:rFonts w:hint="eastAsia" w:ascii="仿宋_GB2312" w:eastAsia="仿宋_GB2312"/>
          <w:sz w:val="32"/>
          <w:szCs w:val="32"/>
          <w:lang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中全会精神</w:t>
      </w:r>
      <w:r>
        <w:rPr>
          <w:rFonts w:hint="eastAsia" w:ascii="仿宋_GB2312" w:eastAsia="仿宋_GB2312"/>
          <w:sz w:val="32"/>
          <w:szCs w:val="32"/>
          <w:lang w:eastAsia="zh-CN"/>
        </w:rPr>
        <w:t>为指导</w:t>
      </w:r>
      <w:r>
        <w:rPr>
          <w:rFonts w:hint="eastAsia" w:ascii="仿宋_GB2312" w:eastAsia="仿宋_GB2312"/>
          <w:sz w:val="32"/>
          <w:szCs w:val="32"/>
        </w:rPr>
        <w:t>，深入贯彻落实</w:t>
      </w:r>
      <w:r>
        <w:rPr>
          <w:rFonts w:hint="eastAsia" w:ascii="仿宋_GB2312" w:eastAsia="仿宋_GB2312"/>
          <w:sz w:val="32"/>
          <w:szCs w:val="32"/>
          <w:lang w:eastAsia="zh-CN"/>
        </w:rPr>
        <w:t>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2021年</w:t>
      </w:r>
      <w:r>
        <w:rPr>
          <w:rFonts w:hint="eastAsia" w:ascii="仿宋_GB2312" w:eastAsia="仿宋_GB2312"/>
          <w:sz w:val="32"/>
          <w:szCs w:val="32"/>
          <w:lang w:eastAsia="zh-CN"/>
        </w:rPr>
        <w:t>浙江省政务公开工作要点》和《2021年宁波市政务公开工作要点》的指示</w:t>
      </w:r>
      <w:r>
        <w:rPr>
          <w:rFonts w:hint="eastAsia" w:ascii="仿宋_GB2312" w:eastAsia="仿宋_GB2312"/>
          <w:sz w:val="32"/>
          <w:szCs w:val="32"/>
        </w:rPr>
        <w:t>，聚焦做好</w:t>
      </w:r>
      <w:r>
        <w:rPr>
          <w:rFonts w:hint="eastAsia" w:ascii="仿宋_GB2312" w:eastAsia="仿宋_GB2312"/>
          <w:sz w:val="32"/>
          <w:szCs w:val="32"/>
          <w:lang w:eastAsia="zh-CN"/>
        </w:rPr>
        <w:t>余姚市十四五规划工作</w:t>
      </w:r>
      <w:r>
        <w:rPr>
          <w:rFonts w:hint="eastAsia" w:ascii="仿宋_GB2312" w:eastAsia="仿宋_GB2312"/>
          <w:sz w:val="32"/>
          <w:szCs w:val="32"/>
        </w:rPr>
        <w:t>、助力深化打造一流营商环境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做好涉疫信息公开，不断提升全市政务公开的质量和实效，切实增强人民群众满意度和获得感，为推进我市经济社会持续健康发展提供了有力支撑。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年，</w:t>
      </w:r>
      <w:r>
        <w:rPr>
          <w:rFonts w:hint="eastAsia" w:ascii="仿宋_GB2312" w:eastAsia="仿宋_GB2312"/>
          <w:sz w:val="32"/>
          <w:szCs w:val="32"/>
          <w:lang w:eastAsia="zh-CN"/>
        </w:rPr>
        <w:t>市政府办公室通过余姚市人民政府网站主动公开政府信息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1240余</w:t>
      </w:r>
      <w:r>
        <w:rPr>
          <w:rFonts w:hint="eastAsia" w:ascii="仿宋_GB2312" w:eastAsia="仿宋_GB2312"/>
          <w:sz w:val="32"/>
          <w:szCs w:val="32"/>
          <w:lang w:eastAsia="zh-CN"/>
        </w:rPr>
        <w:t>条，财政信息专题信息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150件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hint="eastAsia" w:ascii="仿宋_GB2312" w:eastAsia="仿宋_GB2312"/>
          <w:sz w:val="32"/>
          <w:szCs w:val="32"/>
          <w:lang w:eastAsia="zh-CN"/>
        </w:rPr>
        <w:t>营商环境专题信息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320余</w:t>
      </w:r>
      <w:r>
        <w:rPr>
          <w:rFonts w:hint="eastAsia" w:ascii="仿宋_GB2312" w:eastAsia="仿宋_GB2312"/>
          <w:sz w:val="32"/>
          <w:szCs w:val="32"/>
        </w:rPr>
        <w:t>件</w:t>
      </w:r>
      <w:r>
        <w:rPr>
          <w:rFonts w:hint="eastAsia" w:ascii="仿宋_GB2312" w:eastAsia="仿宋_GB2312"/>
          <w:sz w:val="32"/>
          <w:szCs w:val="32"/>
          <w:lang w:eastAsia="zh-CN"/>
        </w:rPr>
        <w:t>、疫情专题信息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240余件、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  <w:lang w:val="en-US" w:eastAsia="zh-CN"/>
        </w:rPr>
        <w:t>市政府及办公室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</w:rPr>
        <w:t>主动公开规范性文件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  <w:lang w:val="en-US" w:eastAsia="zh-CN"/>
        </w:rPr>
        <w:t>13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</w:rPr>
        <w:t>件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  <w:lang w:eastAsia="zh-CN"/>
        </w:rPr>
        <w:t>，行政规范性文件及市政府常务会议图解解读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  <w:lang w:val="en-US" w:eastAsia="zh-CN"/>
        </w:rPr>
        <w:t>28件</w:t>
      </w:r>
      <w:r>
        <w:rPr>
          <w:rFonts w:hint="eastAsia" w:ascii="仿宋_GB2312" w:hAnsi="黑体" w:eastAsia="仿宋_GB2312"/>
          <w:snapToGrid w:val="0"/>
          <w:color w:val="auto"/>
          <w:spacing w:val="-4"/>
          <w:sz w:val="32"/>
          <w:szCs w:val="32"/>
          <w:lang w:eastAsia="zh-CN"/>
        </w:rPr>
        <w:t>。</w:t>
      </w:r>
    </w:p>
    <w:p>
      <w:pPr>
        <w:spacing w:line="600" w:lineRule="exact"/>
        <w:ind w:firstLine="643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b/>
          <w:bCs/>
          <w:sz w:val="32"/>
          <w:szCs w:val="32"/>
        </w:rPr>
        <w:t>、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深化重点领域政府信息公开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</w:t>
      </w:r>
      <w:r>
        <w:rPr>
          <w:rFonts w:hint="eastAsia" w:ascii="仿宋_GB2312" w:eastAsia="仿宋_GB2312"/>
          <w:sz w:val="32"/>
          <w:szCs w:val="32"/>
          <w:lang w:eastAsia="zh-CN"/>
        </w:rPr>
        <w:t>重大行政决策事项</w:t>
      </w:r>
      <w:r>
        <w:rPr>
          <w:rFonts w:hint="eastAsia" w:ascii="仿宋_GB2312" w:eastAsia="仿宋_GB2312"/>
          <w:sz w:val="32"/>
          <w:szCs w:val="32"/>
        </w:rPr>
        <w:t>为依托，</w:t>
      </w:r>
      <w:r>
        <w:rPr>
          <w:rFonts w:hint="eastAsia" w:ascii="仿宋_GB2312" w:eastAsia="仿宋_GB2312"/>
          <w:sz w:val="32"/>
          <w:szCs w:val="32"/>
          <w:lang w:eastAsia="zh-CN"/>
        </w:rPr>
        <w:t>发布征求意见稿及相关起草说明，向社会公开征求意见，并公开意见征集采纳情况，共发布意见征集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36条</w:t>
      </w:r>
      <w:r>
        <w:rPr>
          <w:rFonts w:hint="eastAsia" w:ascii="仿宋_GB2312" w:eastAsia="仿宋_GB2312"/>
          <w:sz w:val="32"/>
          <w:szCs w:val="32"/>
          <w:lang w:eastAsia="zh-CN"/>
        </w:rPr>
        <w:t>。继续推进重大建设项目审批和实施、财政信息、食品安全、教育信息等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20项</w:t>
      </w:r>
      <w:r>
        <w:rPr>
          <w:rFonts w:hint="eastAsia" w:ascii="仿宋_GB2312" w:eastAsia="仿宋_GB2312"/>
          <w:sz w:val="32"/>
          <w:szCs w:val="32"/>
          <w:lang w:eastAsia="zh-CN"/>
        </w:rPr>
        <w:t>重点领域政务公开，尤为重视就业领域，食品安全领域公开，推进各领域决策、执行、管理、服务、结果全流程公开，接受公众监督，增强公开实效。</w:t>
      </w:r>
    </w:p>
    <w:p>
      <w:pPr>
        <w:ind w:firstLine="640" w:firstLineChars="200"/>
        <w:jc w:val="left"/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36565" cy="3704590"/>
            <wp:effectExtent l="0" t="0" r="6985" b="10160"/>
            <wp:docPr id="9" name="图片 9" descr="764453E6-6939-4307-8B5F-44A4E9285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4453E6-6939-4307-8B5F-44A4E92857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42915" cy="2865755"/>
            <wp:effectExtent l="0" t="0" r="635" b="10795"/>
            <wp:docPr id="16" name="图片 16" descr="749B4C2C-71CD-4aef-81D7-F7299E71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49B4C2C-71CD-4aef-81D7-F7299E7164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3" w:firstLineChars="200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536565" cy="2884805"/>
            <wp:effectExtent l="0" t="0" r="6985" b="10795"/>
            <wp:docPr id="21" name="图片 21" descr="9ED968E7-ABA5-4a02-8397-357CF78B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ED968E7-ABA5-4a02-8397-357CF78B17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b/>
          <w:bCs/>
          <w:sz w:val="32"/>
          <w:szCs w:val="32"/>
        </w:rPr>
        <w:t>、做好规划实施信息集中公开</w:t>
      </w:r>
    </w:p>
    <w:p>
      <w:pPr>
        <w:spacing w:line="60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做好</w:t>
      </w:r>
      <w:r>
        <w:rPr>
          <w:rFonts w:hint="eastAsia" w:ascii="仿宋_GB2312" w:eastAsia="仿宋_GB2312"/>
          <w:sz w:val="32"/>
          <w:szCs w:val="32"/>
          <w:lang w:eastAsia="zh-CN"/>
        </w:rPr>
        <w:t>余姚市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  <w:lang w:eastAsia="zh-CN"/>
        </w:rPr>
        <w:t>十四五规划以及专项规划、区域规划等规划</w:t>
      </w:r>
      <w:r>
        <w:rPr>
          <w:rFonts w:hint="eastAsia" w:ascii="仿宋_GB2312" w:eastAsia="仿宋_GB2312"/>
          <w:sz w:val="32"/>
          <w:szCs w:val="32"/>
        </w:rPr>
        <w:t>实施落实情况，并在政府门户网站设置专栏集中公开。全面展示定位准确、边界清晰、功能互补、统一衔接的全市规划体系，引导全社会关心支持监督规划实施工作。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6565" cy="2987040"/>
            <wp:effectExtent l="0" t="0" r="6985" b="3810"/>
            <wp:docPr id="17" name="图片 17" descr="2E9D8E44-835D-422a-8D3D-F4F3955CC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9D8E44-835D-422a-8D3D-F4F3955CCC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三</w:t>
      </w:r>
      <w:r>
        <w:rPr>
          <w:rFonts w:hint="eastAsia" w:ascii="仿宋_GB2312" w:eastAsia="仿宋_GB2312"/>
          <w:b/>
          <w:bCs/>
          <w:sz w:val="32"/>
          <w:szCs w:val="32"/>
        </w:rPr>
        <w:t>、着力优化营商环境，加大信息公开力度</w:t>
      </w:r>
    </w:p>
    <w:p>
      <w:pPr>
        <w:spacing w:line="600" w:lineRule="exact"/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规范政务服务信息公开，不断完善优化营商环境长效机制，提高政务服务透明度便利度。全面优化办事流程，完善办事信息主动推送方式，及时公开建设高标准市场体系政策举措，助力建设高效规范、公平竞争的市场环境</w:t>
      </w:r>
      <w:r>
        <w:rPr>
          <w:rFonts w:hint="eastAsia" w:ascii="仿宋_GB2312" w:eastAsia="仿宋_GB2312"/>
          <w:sz w:val="32"/>
          <w:szCs w:val="32"/>
          <w:lang w:eastAsia="zh-CN"/>
        </w:rPr>
        <w:t>，龚发布</w:t>
      </w:r>
      <w:r>
        <w:rPr>
          <w:rFonts w:hint="eastAsia" w:ascii="仿宋_GB2312" w:eastAsia="仿宋_GB2312"/>
          <w:sz w:val="32"/>
          <w:szCs w:val="32"/>
        </w:rPr>
        <w:t>专题信息320余件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42280" cy="3013075"/>
            <wp:effectExtent l="0" t="0" r="1270" b="15875"/>
            <wp:docPr id="18" name="图片 18" descr="688F9187-CA3E-4914-976F-6140EAFF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8F9187-CA3E-4914-976F-6140EAFF37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b/>
          <w:bCs/>
          <w:sz w:val="32"/>
          <w:szCs w:val="32"/>
        </w:rPr>
        <w:t>、完善财政信息公开机制</w:t>
      </w:r>
    </w:p>
    <w:p>
      <w:pPr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设置专题专栏，</w:t>
      </w:r>
      <w:r>
        <w:rPr>
          <w:rFonts w:hint="eastAsia" w:ascii="仿宋_GB2312" w:eastAsia="仿宋_GB2312"/>
          <w:sz w:val="32"/>
          <w:szCs w:val="32"/>
        </w:rPr>
        <w:t>进一步扩大政府预决算公开范围，推进</w:t>
      </w:r>
      <w:r>
        <w:rPr>
          <w:rFonts w:hint="eastAsia" w:ascii="仿宋_GB2312" w:eastAsia="仿宋_GB2312"/>
          <w:sz w:val="32"/>
          <w:szCs w:val="32"/>
          <w:lang w:eastAsia="zh-CN"/>
        </w:rPr>
        <w:t>财政预算和决算</w:t>
      </w:r>
      <w:r>
        <w:rPr>
          <w:rFonts w:hint="eastAsia" w:ascii="仿宋_GB2312" w:eastAsia="仿宋_GB2312"/>
          <w:sz w:val="32"/>
          <w:szCs w:val="32"/>
        </w:rPr>
        <w:t>情况公开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通过集中统一平台定期公开地方政府债务限额、余额、发行、品种、期限、利率、偿还计划、偿债资金来源等信息。公开政府采购项目信息、采购文件、中标或成交结果、采购合同、投诉处理结果等信息</w:t>
      </w:r>
      <w:r>
        <w:rPr>
          <w:rFonts w:hint="eastAsia" w:ascii="仿宋_GB2312" w:eastAsia="仿宋_GB2312"/>
          <w:sz w:val="32"/>
          <w:szCs w:val="32"/>
          <w:lang w:eastAsia="zh-CN"/>
        </w:rPr>
        <w:t>，发布了一系列</w:t>
      </w:r>
      <w:r>
        <w:rPr>
          <w:rFonts w:hint="eastAsia" w:ascii="仿宋_GB2312" w:eastAsia="仿宋_GB2312"/>
          <w:sz w:val="32"/>
          <w:szCs w:val="32"/>
        </w:rPr>
        <w:t>财政信息150</w:t>
      </w:r>
      <w:r>
        <w:rPr>
          <w:rFonts w:hint="eastAsia" w:ascii="仿宋_GB2312" w:eastAsia="仿宋_GB2312"/>
          <w:sz w:val="32"/>
          <w:szCs w:val="32"/>
          <w:lang w:eastAsia="zh-CN"/>
        </w:rPr>
        <w:t>余</w:t>
      </w:r>
      <w:r>
        <w:rPr>
          <w:rFonts w:hint="eastAsia" w:ascii="仿宋_GB2312" w:eastAsia="仿宋_GB2312"/>
          <w:sz w:val="32"/>
          <w:szCs w:val="32"/>
        </w:rPr>
        <w:t>件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spacing w:line="240" w:lineRule="auto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31485" cy="2674620"/>
            <wp:effectExtent l="0" t="0" r="12065" b="11430"/>
            <wp:docPr id="19" name="图片 19" descr="92A4BBF5-5F22-4e8f-9505-16B35BDDD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2A4BBF5-5F22-4e8f-9505-16B35BDDDE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exact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做好疫情防控信息公开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坚持生命至上、实事求是、依法发布、分级负责、公开透明、科学规范的原则，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制定专题，</w:t>
      </w:r>
      <w:r>
        <w:rPr>
          <w:rFonts w:hint="eastAsia" w:ascii="仿宋" w:hAnsi="仿宋" w:eastAsia="仿宋" w:cs="仿宋"/>
          <w:sz w:val="32"/>
          <w:szCs w:val="32"/>
        </w:rPr>
        <w:t>做好新冠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肺炎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疫情防控信息公开，及时准确发布疫苗接种、隔离管控精准防控等相关信息，权威解读相关政策，主动回应社会关切，精准说明防控措施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，发布了</w:t>
      </w:r>
      <w:r>
        <w:rPr>
          <w:rFonts w:hint="eastAsia" w:ascii="仿宋" w:hAnsi="仿宋" w:eastAsia="仿宋" w:cs="仿宋"/>
          <w:sz w:val="32"/>
          <w:szCs w:val="32"/>
        </w:rPr>
        <w:t>疫情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相关</w:t>
      </w:r>
      <w:r>
        <w:rPr>
          <w:rFonts w:hint="eastAsia" w:ascii="仿宋" w:hAnsi="仿宋" w:eastAsia="仿宋" w:cs="仿宋"/>
          <w:sz w:val="32"/>
          <w:szCs w:val="32"/>
        </w:rPr>
        <w:t>信息240余件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542280" cy="3131820"/>
            <wp:effectExtent l="0" t="0" r="1270" b="11430"/>
            <wp:docPr id="20" name="图片 20" descr="4D218979-4C23-4b14-94ED-5A149C6D1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D218979-4C23-4b14-94ED-5A149C6D1BF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（六）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进一步健全监督保障机制。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针对政务公开工作面临的新形势、新任务、新要求，坚持问题导向和目标导向，加强工作推动，组织开展全市政务公开业务培训，不断提升政务公开工作人员的业务素质和能力水平。不断健全完善政府信息公开监督考核体系，组织第三方机构对我市政府信息公开工作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考核，加强对法定主动公开目录、重点领域和意见征集等方面的监测考评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tbl>
      <w:tblPr>
        <w:tblStyle w:val="5"/>
        <w:tblpPr w:leftFromText="180" w:rightFromText="180" w:vertAnchor="text" w:horzAnchor="page" w:tblpX="1139" w:tblpY="289"/>
        <w:tblOverlap w:val="never"/>
        <w:tblW w:w="97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第二十条第（一）项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现行有效件数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/>
              </w:rPr>
              <w:t>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第二十条第（五）项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第二十条第（六）项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第二十条第（八）项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本年收费金额（单位：万元）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ind w:firstLine="440" w:firstLineChars="200"/>
        <w:rPr>
          <w:rFonts w:ascii="黑体" w:hAnsi="黑体" w:eastAsia="黑体"/>
          <w:sz w:val="22"/>
          <w:szCs w:val="32"/>
        </w:rPr>
      </w:pPr>
    </w:p>
    <w:p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三、收到和处理政府信息公开申请情况</w:t>
      </w:r>
    </w:p>
    <w:tbl>
      <w:tblPr>
        <w:tblStyle w:val="5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3"/>
        <w:gridCol w:w="3220"/>
        <w:gridCol w:w="688"/>
        <w:gridCol w:w="688"/>
        <w:gridCol w:w="688"/>
        <w:gridCol w:w="688"/>
        <w:gridCol w:w="688"/>
        <w:gridCol w:w="688"/>
        <w:gridCol w:w="68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楷体" w:hAnsi="楷体" w:eastAsia="楷体" w:cs="楷体"/>
                <w:color w:val="auto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4817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法人或其他组织</w:t>
            </w:r>
          </w:p>
        </w:tc>
        <w:tc>
          <w:tcPr>
            <w:tcW w:w="689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商业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科研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</w:tc>
        <w:tc>
          <w:tcPr>
            <w:tcW w:w="689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三、本年度办理结果</w:t>
            </w: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（二）部分公开</w:t>
            </w:r>
            <w:r>
              <w:rPr>
                <w:rFonts w:hint="eastAsia" w:ascii="楷体" w:hAnsi="楷体" w:eastAsia="楷体" w:cs="楷体"/>
                <w:color w:val="auto"/>
                <w:kern w:val="0"/>
                <w:sz w:val="20"/>
                <w:szCs w:val="20"/>
                <w:lang w:val="en-US" w:eastAsia="zh-CN" w:bidi="ar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（三）不予公开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（四）无法提供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（五）不予处理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1.信访举报投诉类申请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（六）其他处理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eastAsia="仿宋"/>
                <w:color w:val="auto"/>
                <w:lang w:val="en-US" w:eastAsia="zh-CN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四、结转下年度继续办理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Calibri" w:hAnsi="Calibri" w:cs="Calibr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eastAsia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四、政府信息公开行政复议、行政诉讼情况</w:t>
      </w:r>
    </w:p>
    <w:tbl>
      <w:tblPr>
        <w:tblStyle w:val="5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711"/>
        <w:gridCol w:w="567"/>
        <w:gridCol w:w="482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其它结果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560" w:lineRule="exact"/>
              <w:rPr>
                <w:rFonts w:ascii="宋体" w:hAnsi="宋体"/>
                <w:sz w:val="20"/>
                <w:szCs w:val="28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560" w:lineRule="exact"/>
              <w:rPr>
                <w:rFonts w:ascii="宋体" w:hAnsi="宋体"/>
                <w:sz w:val="20"/>
                <w:szCs w:val="28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560" w:lineRule="exact"/>
              <w:rPr>
                <w:rFonts w:ascii="宋体" w:hAnsi="宋体"/>
                <w:sz w:val="20"/>
                <w:szCs w:val="28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560" w:lineRule="exact"/>
              <w:rPr>
                <w:rFonts w:ascii="宋体" w:hAnsi="宋体"/>
                <w:sz w:val="20"/>
                <w:szCs w:val="28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560" w:lineRule="exact"/>
              <w:rPr>
                <w:rFonts w:ascii="宋体" w:hAnsi="宋体"/>
                <w:sz w:val="20"/>
                <w:szCs w:val="2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结果维持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结果纠正</w:t>
            </w:r>
          </w:p>
        </w:tc>
        <w:tc>
          <w:tcPr>
            <w:tcW w:w="48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其它结果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8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8"/>
              </w:rPr>
              <w:t>其它结果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8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560" w:lineRule="exact"/>
              <w:jc w:val="center"/>
              <w:rPr>
                <w:rFonts w:ascii="宋体" w:hAnsi="宋体"/>
                <w:sz w:val="20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8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lang w:val="en-US" w:eastAsia="zh-CN"/>
              </w:rPr>
              <w:t>0</w:t>
            </w:r>
          </w:p>
        </w:tc>
      </w:tr>
    </w:tbl>
    <w:p>
      <w:pPr>
        <w:spacing w:line="6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五、存在的主要问题及改进情况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（一）主要问题。</w:t>
      </w:r>
      <w:r>
        <w:rPr>
          <w:rFonts w:hint="eastAsia" w:ascii="仿宋_GB2312" w:eastAsia="仿宋_GB2312"/>
          <w:sz w:val="32"/>
          <w:szCs w:val="32"/>
        </w:rPr>
        <w:t>一是在基层政务公开标准化规范化方面还需要进一步加强。</w:t>
      </w:r>
      <w:r>
        <w:rPr>
          <w:rFonts w:hint="eastAsia" w:ascii="仿宋_GB2312" w:eastAsia="仿宋_GB2312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sz w:val="32"/>
          <w:szCs w:val="32"/>
        </w:rPr>
        <w:t>是政务公开平台建设需要进一步加大力度，政务新媒体等平台作用还需加强</w:t>
      </w:r>
      <w:r>
        <w:rPr>
          <w:rFonts w:hint="eastAsia" w:ascii="仿宋_GB2312" w:eastAsia="仿宋_GB2312"/>
          <w:sz w:val="32"/>
          <w:szCs w:val="32"/>
          <w:lang w:eastAsia="zh-CN"/>
        </w:rPr>
        <w:t>，信息集约化力度还需加大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楷体_GB2312" w:eastAsia="仿宋"/>
          <w:sz w:val="32"/>
          <w:szCs w:val="32"/>
          <w:lang w:eastAsia="zh-CN"/>
        </w:rPr>
      </w:pPr>
      <w:r>
        <w:rPr>
          <w:rFonts w:hint="eastAsia" w:ascii="楷体_GB2312" w:eastAsia="楷体_GB2312"/>
          <w:sz w:val="32"/>
          <w:szCs w:val="32"/>
        </w:rPr>
        <w:t>（二）改进措施。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一是按照上级部门有关政务公开规范化文件精神，明确工作指标，细化落实举措，对栏目进行优化提升。二是</w:t>
      </w:r>
      <w:r>
        <w:rPr>
          <w:rFonts w:hint="eastAsia" w:ascii="仿宋" w:hAnsi="仿宋" w:eastAsia="仿宋" w:cs="仿宋"/>
          <w:sz w:val="32"/>
          <w:szCs w:val="32"/>
        </w:rPr>
        <w:t>进一步提升政府网站集约化建设水平，不断提升平台的实用性和服务性。加强对政府网站和政务新媒体的常态化监管，打造更加全面的政务公开平台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六、其他需要报告的事项</w:t>
      </w:r>
    </w:p>
    <w:p>
      <w:pPr>
        <w:spacing w:line="600" w:lineRule="exact"/>
        <w:ind w:firstLine="640" w:firstLineChars="200"/>
        <w:rPr>
          <w:rFonts w:hint="eastAsia" w:eastAsia="仿宋_GB231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如需了解更多政府信息，请登录</w:t>
      </w:r>
      <w:r>
        <w:rPr>
          <w:rFonts w:hint="eastAsia" w:ascii="仿宋_GB2312" w:eastAsia="仿宋_GB2312"/>
          <w:sz w:val="32"/>
          <w:szCs w:val="32"/>
          <w:lang w:eastAsia="zh-CN"/>
        </w:rPr>
        <w:t>余姚市人民政府</w:t>
      </w:r>
      <w:r>
        <w:rPr>
          <w:rFonts w:hint="eastAsia" w:ascii="仿宋_GB2312" w:eastAsia="仿宋_GB2312"/>
          <w:sz w:val="32"/>
          <w:szCs w:val="32"/>
        </w:rPr>
        <w:t>网查询，网址：http://www.yy.gov.cn/</w:t>
      </w:r>
      <w:r>
        <w:rPr>
          <w:rFonts w:hint="eastAsia" w:ascii="仿宋_GB2312" w:eastAsia="仿宋_GB2312"/>
          <w:sz w:val="32"/>
          <w:szCs w:val="32"/>
          <w:lang w:eastAsia="zh-CN"/>
        </w:rPr>
        <w:t>，无</w:t>
      </w:r>
      <w:r>
        <w:rPr>
          <w:rFonts w:hint="eastAsia" w:ascii="仿宋_GB2312" w:eastAsia="仿宋_GB2312"/>
          <w:sz w:val="32"/>
          <w:szCs w:val="32"/>
        </w:rPr>
        <w:t>收取信息处理费情况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spacing w:line="600" w:lineRule="exact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余姚市人民政府办公室</w:t>
      </w:r>
    </w:p>
    <w:p>
      <w:pPr>
        <w:spacing w:line="600" w:lineRule="exact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2021年12月31日</w:t>
      </w:r>
    </w:p>
    <w:sectPr>
      <w:headerReference r:id="rId3" w:type="default"/>
      <w:footerReference r:id="rId4" w:type="default"/>
      <w:footerReference r:id="rId5" w:type="even"/>
      <w:pgSz w:w="11906" w:h="16838"/>
      <w:pgMar w:top="1247" w:right="1474" w:bottom="124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Style w:val="7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9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23"/>
    <w:rsid w:val="00015014"/>
    <w:rsid w:val="000414BE"/>
    <w:rsid w:val="00045B54"/>
    <w:rsid w:val="00093D95"/>
    <w:rsid w:val="00095786"/>
    <w:rsid w:val="00097021"/>
    <w:rsid w:val="000B0E46"/>
    <w:rsid w:val="00101E08"/>
    <w:rsid w:val="001402A2"/>
    <w:rsid w:val="00156678"/>
    <w:rsid w:val="001A12F8"/>
    <w:rsid w:val="00281BDF"/>
    <w:rsid w:val="00287B31"/>
    <w:rsid w:val="0029497F"/>
    <w:rsid w:val="002B7BF1"/>
    <w:rsid w:val="002D0A1A"/>
    <w:rsid w:val="00352254"/>
    <w:rsid w:val="00364409"/>
    <w:rsid w:val="00404D96"/>
    <w:rsid w:val="004C73C8"/>
    <w:rsid w:val="004F4062"/>
    <w:rsid w:val="00723C7B"/>
    <w:rsid w:val="00731CE9"/>
    <w:rsid w:val="007344DB"/>
    <w:rsid w:val="00796E76"/>
    <w:rsid w:val="007E6B33"/>
    <w:rsid w:val="00834B1B"/>
    <w:rsid w:val="00846D1F"/>
    <w:rsid w:val="00882480"/>
    <w:rsid w:val="008A134B"/>
    <w:rsid w:val="008A3B9B"/>
    <w:rsid w:val="008E76B2"/>
    <w:rsid w:val="009C5D0F"/>
    <w:rsid w:val="00A031F3"/>
    <w:rsid w:val="00A34CDB"/>
    <w:rsid w:val="00A8056E"/>
    <w:rsid w:val="00AB3EF7"/>
    <w:rsid w:val="00AD0214"/>
    <w:rsid w:val="00B279C1"/>
    <w:rsid w:val="00BA6F49"/>
    <w:rsid w:val="00D23955"/>
    <w:rsid w:val="00D32979"/>
    <w:rsid w:val="00D44E9D"/>
    <w:rsid w:val="00D63988"/>
    <w:rsid w:val="00D77B7E"/>
    <w:rsid w:val="00D80523"/>
    <w:rsid w:val="00DF24B8"/>
    <w:rsid w:val="00E36A74"/>
    <w:rsid w:val="00E47586"/>
    <w:rsid w:val="00E905CA"/>
    <w:rsid w:val="00F21EBD"/>
    <w:rsid w:val="00F5211B"/>
    <w:rsid w:val="00FD2E6C"/>
    <w:rsid w:val="02826B5C"/>
    <w:rsid w:val="047569B6"/>
    <w:rsid w:val="08946B89"/>
    <w:rsid w:val="0DF15EF9"/>
    <w:rsid w:val="0E863D21"/>
    <w:rsid w:val="12B41EDC"/>
    <w:rsid w:val="13C975CD"/>
    <w:rsid w:val="1528053B"/>
    <w:rsid w:val="1A666C2D"/>
    <w:rsid w:val="1A97649E"/>
    <w:rsid w:val="1DA018BD"/>
    <w:rsid w:val="1DC82CBC"/>
    <w:rsid w:val="1E596E00"/>
    <w:rsid w:val="202D2E00"/>
    <w:rsid w:val="20C43C3E"/>
    <w:rsid w:val="21D71B63"/>
    <w:rsid w:val="22D12C95"/>
    <w:rsid w:val="242E30ED"/>
    <w:rsid w:val="251421AF"/>
    <w:rsid w:val="275E4835"/>
    <w:rsid w:val="290C1F73"/>
    <w:rsid w:val="291E7E1C"/>
    <w:rsid w:val="2A4C5246"/>
    <w:rsid w:val="2C7A27F5"/>
    <w:rsid w:val="32F93A0B"/>
    <w:rsid w:val="333335C5"/>
    <w:rsid w:val="336B273A"/>
    <w:rsid w:val="363E5ADA"/>
    <w:rsid w:val="36E50F85"/>
    <w:rsid w:val="39436D2E"/>
    <w:rsid w:val="3DF714A5"/>
    <w:rsid w:val="3F5D6BB9"/>
    <w:rsid w:val="40EA0A64"/>
    <w:rsid w:val="41F158A1"/>
    <w:rsid w:val="427617BC"/>
    <w:rsid w:val="42AA17BA"/>
    <w:rsid w:val="444236C2"/>
    <w:rsid w:val="4A9B4F98"/>
    <w:rsid w:val="4B697468"/>
    <w:rsid w:val="4C595350"/>
    <w:rsid w:val="50364312"/>
    <w:rsid w:val="513F7DCC"/>
    <w:rsid w:val="51EB51C6"/>
    <w:rsid w:val="53297A8C"/>
    <w:rsid w:val="56394B3B"/>
    <w:rsid w:val="56BD4B54"/>
    <w:rsid w:val="5FBC19A1"/>
    <w:rsid w:val="63CB3300"/>
    <w:rsid w:val="64C064C6"/>
    <w:rsid w:val="64EA54BD"/>
    <w:rsid w:val="66DA54C5"/>
    <w:rsid w:val="6C8E77A8"/>
    <w:rsid w:val="6D7A3592"/>
    <w:rsid w:val="6FB90AAB"/>
    <w:rsid w:val="70C65F4A"/>
    <w:rsid w:val="747370E6"/>
    <w:rsid w:val="76380DB7"/>
    <w:rsid w:val="7A2D11EB"/>
    <w:rsid w:val="7C3C006A"/>
    <w:rsid w:val="7C712D3E"/>
    <w:rsid w:val="7CB7341D"/>
    <w:rsid w:val="7D85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53D2DE-42F7-4A2E-8E67-7B9EF8528E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901</Words>
  <Characters>5139</Characters>
  <Lines>42</Lines>
  <Paragraphs>12</Paragraphs>
  <TotalTime>10</TotalTime>
  <ScaleCrop>false</ScaleCrop>
  <LinksUpToDate>false</LinksUpToDate>
  <CharactersWithSpaces>6028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2021-03-22T01:20:00Z</dcterms:created>
  <dc:creator>个人用户</dc:creator>
  <cp:lastModifiedBy>匿名用户</cp:lastModifiedBy>
  <cp:lastPrinted>2021-03-25T07:25:00Z</cp:lastPrinted>
  <dcterms:modified xsi:type="dcterms:W3CDTF">2022-01-13T08:54:54Z</dcterms:modified>
  <dc:title>余姚市政府办公室2021年政府信息公开工作年度报告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