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余姚</w:t>
      </w:r>
      <w:r>
        <w:rPr>
          <w:rFonts w:hint="eastAsia" w:ascii="方正小标宋简体" w:eastAsia="方正小标宋简体"/>
          <w:sz w:val="44"/>
          <w:szCs w:val="44"/>
        </w:rPr>
        <w:t>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人民政府房屋征收管理中心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2021年度政府信息公开工作年度报告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sz w:val="32"/>
          <w:szCs w:val="32"/>
        </w:rPr>
        <w:t>年，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我中心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习近平新时代中国特色社会主义思想为指导，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深刻贯彻十九届六中全会精神，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认真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中央、省、宁波市和我市有关政务公开的文件精神和工作部署要求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全面推进</w:t>
      </w:r>
      <w:r>
        <w:rPr>
          <w:rFonts w:hint="eastAsia" w:ascii="仿宋_GB2312" w:hAnsi="宋体" w:eastAsia="仿宋_GB2312"/>
          <w:sz w:val="32"/>
          <w:szCs w:val="32"/>
        </w:rPr>
        <w:t>政府信息公开工作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扎实有序开展</w:t>
      </w:r>
      <w:r>
        <w:rPr>
          <w:rFonts w:hint="eastAsia" w:ascii="仿宋_GB2312" w:hAnsi="宋体" w:eastAsia="仿宋_GB2312"/>
          <w:sz w:val="32"/>
          <w:szCs w:val="32"/>
        </w:rPr>
        <w:t>，现总结如下：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楷体_GB2312" w:hAnsi="仿宋_GB2312" w:eastAsia="楷体_GB2312"/>
          <w:sz w:val="32"/>
          <w:szCs w:val="32"/>
        </w:rPr>
      </w:pPr>
      <w:r>
        <w:rPr>
          <w:rFonts w:hint="eastAsia" w:ascii="楷体_GB2312" w:hAnsi="仿宋_GB2312" w:eastAsia="楷体_GB2312"/>
          <w:sz w:val="32"/>
          <w:szCs w:val="32"/>
          <w:lang w:val="en-US" w:eastAsia="zh-CN"/>
        </w:rPr>
        <w:t>（一）主</w:t>
      </w:r>
      <w:r>
        <w:rPr>
          <w:rFonts w:hint="eastAsia" w:ascii="楷体_GB2312" w:hAnsi="仿宋_GB2312" w:eastAsia="楷体_GB2312"/>
          <w:sz w:val="32"/>
          <w:szCs w:val="32"/>
        </w:rPr>
        <w:t>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/>
          <w:sz w:val="32"/>
          <w:szCs w:val="32"/>
        </w:rPr>
        <w:t>，我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/>
          <w:sz w:val="32"/>
          <w:szCs w:val="32"/>
        </w:rPr>
        <w:t>共在政府信息公开系统上更新发布信息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74</w:t>
      </w:r>
      <w:r>
        <w:rPr>
          <w:rFonts w:hint="eastAsia" w:ascii="仿宋_GB2312" w:hAnsi="仿宋_GB2312" w:eastAsia="仿宋_GB2312"/>
          <w:sz w:val="32"/>
          <w:szCs w:val="32"/>
        </w:rPr>
        <w:t>条，其中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公示公告22条、统计数据13条、政策文件2</w:t>
      </w:r>
      <w:r>
        <w:rPr>
          <w:rFonts w:hint="eastAsia" w:ascii="仿宋_GB2312" w:hAnsi="仿宋_GB2312" w:eastAsia="仿宋_GB2312"/>
          <w:sz w:val="32"/>
          <w:szCs w:val="32"/>
        </w:rPr>
        <w:t>条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、工作信息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/>
          <w:sz w:val="32"/>
          <w:szCs w:val="32"/>
        </w:rPr>
        <w:t>条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</w:rPr>
        <w:t>人事信息</w:t>
      </w:r>
      <w:r>
        <w:rPr>
          <w:rFonts w:hint="eastAsia" w:ascii="仿宋_GB2312" w:hAnsi="仿宋_GB2312" w:eastAsia="仿宋_GB2312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/>
          <w:sz w:val="32"/>
          <w:szCs w:val="32"/>
        </w:rPr>
        <w:t>条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</w:rPr>
        <w:t>财政信息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sz w:val="32"/>
          <w:szCs w:val="32"/>
        </w:rPr>
        <w:t>条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决策预公开4条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和年度报告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1条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楷体_GB2312" w:hAnsi="仿宋_GB2312" w:eastAsia="楷体_GB2312"/>
          <w:sz w:val="32"/>
          <w:szCs w:val="32"/>
        </w:rPr>
      </w:pPr>
      <w:r>
        <w:rPr>
          <w:rFonts w:hint="eastAsia" w:ascii="楷体_GB2312" w:hAnsi="仿宋_GB2312" w:eastAsia="楷体_GB2312"/>
          <w:sz w:val="32"/>
          <w:szCs w:val="32"/>
        </w:rPr>
        <w:t>（二）依申请公开政府信息情况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中心</w:t>
      </w:r>
      <w:r>
        <w:rPr>
          <w:rFonts w:hint="eastAsia" w:ascii="仿宋_GB2312" w:eastAsia="仿宋_GB2312"/>
          <w:sz w:val="32"/>
          <w:szCs w:val="32"/>
        </w:rPr>
        <w:t>共办理依申请公开政府信息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件，受理要求查阅拆迁档案的申请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53</w:t>
      </w:r>
      <w:r>
        <w:rPr>
          <w:rFonts w:hint="eastAsia" w:ascii="仿宋_GB2312" w:eastAsia="仿宋_GB2312"/>
          <w:sz w:val="32"/>
          <w:szCs w:val="32"/>
        </w:rPr>
        <w:t>件，已按规定办结。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官网、</w:t>
      </w:r>
      <w:r>
        <w:rPr>
          <w:rFonts w:hint="eastAsia" w:ascii="楷体" w:hAnsi="楷体" w:eastAsia="楷体" w:cs="楷体"/>
          <w:sz w:val="32"/>
          <w:szCs w:val="32"/>
        </w:rPr>
        <w:t>微博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、</w:t>
      </w:r>
      <w:r>
        <w:rPr>
          <w:rFonts w:hint="eastAsia" w:ascii="楷体" w:hAnsi="楷体" w:eastAsia="楷体" w:cs="楷体"/>
          <w:sz w:val="32"/>
          <w:szCs w:val="32"/>
        </w:rPr>
        <w:t>微信途径公开政府信息情况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pacing w:val="-20"/>
          <w:position w:val="-5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eastAsia="仿宋_GB2312"/>
          <w:sz w:val="32"/>
          <w:szCs w:val="32"/>
        </w:rPr>
        <w:t>，我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中心在</w:t>
      </w:r>
      <w:r>
        <w:rPr>
          <w:rFonts w:hint="eastAsia" w:ascii="仿宋_GB2312" w:eastAsia="仿宋_GB2312"/>
          <w:sz w:val="32"/>
          <w:szCs w:val="32"/>
        </w:rPr>
        <w:t>《余姚日报》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等途经主动公开各类信息8条。</w:t>
      </w:r>
    </w:p>
    <w:p>
      <w:pPr>
        <w:numPr>
          <w:ilvl w:val="0"/>
          <w:numId w:val="1"/>
        </w:numPr>
        <w:ind w:left="660" w:leftChars="0" w:firstLine="0" w:firstLineChars="0"/>
        <w:jc w:val="both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主动公开政府信息情况</w:t>
      </w:r>
    </w:p>
    <w:tbl>
      <w:tblPr>
        <w:tblStyle w:val="5"/>
        <w:tblW w:w="893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本年制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发件数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废止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数量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规章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规范性文件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6857" w:type="dxa"/>
            <w:gridSpan w:val="3"/>
            <w:vAlign w:val="center"/>
          </w:tcPr>
          <w:p>
            <w:pPr>
              <w:tabs>
                <w:tab w:val="left" w:pos="2365"/>
              </w:tabs>
              <w:spacing w:line="400" w:lineRule="exact"/>
              <w:jc w:val="left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ab/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行政许可</w:t>
            </w:r>
          </w:p>
        </w:tc>
        <w:tc>
          <w:tcPr>
            <w:tcW w:w="68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68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行政处罚</w:t>
            </w:r>
          </w:p>
        </w:tc>
        <w:tc>
          <w:tcPr>
            <w:tcW w:w="68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行政强制</w:t>
            </w:r>
          </w:p>
        </w:tc>
        <w:tc>
          <w:tcPr>
            <w:tcW w:w="68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68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行政事业性收费</w:t>
            </w:r>
          </w:p>
        </w:tc>
        <w:tc>
          <w:tcPr>
            <w:tcW w:w="68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三、收到和处理政府信息公开申请情况</w:t>
      </w:r>
    </w:p>
    <w:tbl>
      <w:tblPr>
        <w:tblStyle w:val="5"/>
        <w:tblW w:w="9145" w:type="dxa"/>
        <w:jc w:val="center"/>
        <w:tblInd w:w="1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141"/>
        <w:gridCol w:w="2134"/>
        <w:gridCol w:w="734"/>
        <w:gridCol w:w="709"/>
        <w:gridCol w:w="709"/>
        <w:gridCol w:w="992"/>
        <w:gridCol w:w="814"/>
        <w:gridCol w:w="481"/>
        <w:gridCol w:w="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85" w:type="dxa"/>
            <w:gridSpan w:val="3"/>
            <w:vMerge w:val="restart"/>
            <w:vAlign w:val="center"/>
          </w:tcPr>
          <w:p>
            <w:pPr>
              <w:spacing w:line="400" w:lineRule="exact"/>
              <w:rPr>
                <w:rFonts w:ascii="宋体" w:eastAsia="宋体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96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85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宋体" w:eastAsia="宋体" w:cs="Times New Roman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自然人</w:t>
            </w:r>
          </w:p>
        </w:tc>
        <w:tc>
          <w:tcPr>
            <w:tcW w:w="37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法人或其他组织</w:t>
            </w:r>
          </w:p>
        </w:tc>
        <w:tc>
          <w:tcPr>
            <w:tcW w:w="52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85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宋体" w:eastAsia="宋体" w:cs="Times New Roman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spacing w:line="400" w:lineRule="exac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商业企业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科研机构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社会公益组织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法律服务机构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spacing w:line="400" w:lineRule="exac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18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一、本年新收到政府信息公开申请数量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18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二、上年转结政府信息公开申请数量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三、本年度办理结果</w:t>
            </w:r>
          </w:p>
        </w:tc>
        <w:tc>
          <w:tcPr>
            <w:tcW w:w="327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（一）予以公开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（三）不予公开</w:t>
            </w: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属于国家秘密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其他法律行政法规禁止公开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危及“三安全一稳定”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保护第三方合法权益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属于三类内部事务信息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属于四类过程性信息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属于行政执法案卷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8.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属于行政查询事项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（四）无法提供</w:t>
            </w: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本机关不掌握相关政府信息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没有现成信息需要另行制作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补正后申请内容仍不明确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（五）不予处理</w:t>
            </w: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信访举报投诉类申请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重复申请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要求提供公开出版物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无正当理由大量反复申请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要求行政机关确认或重新出具已获取信息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（六）其他处理</w:t>
            </w: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3.其他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（七）总计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8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四、转结下年度继续办理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Times New Roman" w:hAnsi="Times New Roman" w:eastAsia="仿宋_GB2312" w:cs="Times New Roman"/>
          <w:b w:val="0"/>
          <w:bCs w:val="0"/>
          <w:snapToGrid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四、政府信息公开行政复议、行政诉讼情况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1"/>
        <w:gridCol w:w="581"/>
        <w:gridCol w:w="581"/>
        <w:gridCol w:w="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00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行政复议</w:t>
            </w:r>
          </w:p>
        </w:tc>
        <w:tc>
          <w:tcPr>
            <w:tcW w:w="5622" w:type="dxa"/>
            <w:gridSpan w:val="1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0" w:firstLineChars="10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0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维持</w:t>
            </w:r>
          </w:p>
        </w:tc>
        <w:tc>
          <w:tcPr>
            <w:tcW w:w="580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结果纠正</w:t>
            </w:r>
          </w:p>
        </w:tc>
        <w:tc>
          <w:tcPr>
            <w:tcW w:w="580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其他结果</w:t>
            </w:r>
          </w:p>
        </w:tc>
        <w:tc>
          <w:tcPr>
            <w:tcW w:w="580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尚未审结</w:t>
            </w:r>
          </w:p>
        </w:tc>
        <w:tc>
          <w:tcPr>
            <w:tcW w:w="580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总计</w:t>
            </w:r>
          </w:p>
        </w:tc>
        <w:tc>
          <w:tcPr>
            <w:tcW w:w="2900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未经复议直接起诉</w:t>
            </w:r>
          </w:p>
        </w:tc>
        <w:tc>
          <w:tcPr>
            <w:tcW w:w="2722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720" w:firstLineChars="3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0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80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80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80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80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结果维持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结果纠正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其他结 果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尚未审结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总计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结果维 持</w:t>
            </w:r>
          </w:p>
        </w:tc>
        <w:tc>
          <w:tcPr>
            <w:tcW w:w="58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结果纠 正</w:t>
            </w:r>
          </w:p>
        </w:tc>
        <w:tc>
          <w:tcPr>
            <w:tcW w:w="58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其他结果</w:t>
            </w:r>
          </w:p>
        </w:tc>
        <w:tc>
          <w:tcPr>
            <w:tcW w:w="58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尚未审结</w:t>
            </w:r>
          </w:p>
        </w:tc>
        <w:tc>
          <w:tcPr>
            <w:tcW w:w="39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01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00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00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00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01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01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00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00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00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01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01</w:t>
            </w:r>
          </w:p>
        </w:tc>
        <w:tc>
          <w:tcPr>
            <w:tcW w:w="58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00</w:t>
            </w:r>
          </w:p>
        </w:tc>
        <w:tc>
          <w:tcPr>
            <w:tcW w:w="58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00</w:t>
            </w:r>
          </w:p>
        </w:tc>
        <w:tc>
          <w:tcPr>
            <w:tcW w:w="58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00</w:t>
            </w:r>
          </w:p>
        </w:tc>
        <w:tc>
          <w:tcPr>
            <w:tcW w:w="39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01</w:t>
            </w:r>
          </w:p>
        </w:tc>
      </w:tr>
    </w:tbl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五、存在的主要问题及改进情况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2021年，我中心政务信息公开仍以我市范围内的征迁工作进展信息为主。通过一年来的稳步推进，我中心政务公开水平进一步提升，但仍存在不足。主要存在信息公开内容单一化、表面化，信息发布时效性低，信息公开队伍建设有待进一步加强等问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下一步工作打算：我中心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将高度重视政务公开工作，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进一步加强政府信息公开工作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提高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人员对政府信息公开的认识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，继续认真学习和贯彻落实《中华人民共和国政府信息公开条例》，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不断完善公开的渠道和方式，不断提升统计信息公开工作的质量和水平，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主动、及时、全面、准确发布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政务信息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有效保障人民群众的知情权、参与权和监督权。</w:t>
      </w:r>
    </w:p>
    <w:p>
      <w:pPr>
        <w:widowControl w:val="0"/>
        <w:numPr>
          <w:ilvl w:val="0"/>
          <w:numId w:val="0"/>
        </w:numPr>
        <w:ind w:left="660" w:leftChars="0"/>
        <w:jc w:val="both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六、其他需要报告的事项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2021年，中心处理政府信息公开申请事项未收取信息处理费。另无其他需要报告的事项。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ind w:left="660" w:leftChars="0" w:firstLine="2560" w:firstLineChars="800"/>
        <w:jc w:val="both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余姚市人民政府房屋征收管理中心</w:t>
      </w:r>
    </w:p>
    <w:p>
      <w:pPr>
        <w:widowControl w:val="0"/>
        <w:numPr>
          <w:ilvl w:val="0"/>
          <w:numId w:val="0"/>
        </w:numPr>
        <w:ind w:left="660" w:leftChars="0" w:firstLine="3520" w:firstLineChars="1100"/>
        <w:jc w:val="both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2021年12月31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C4EEF5"/>
    <w:multiLevelType w:val="singleLevel"/>
    <w:tmpl w:val="C4C4EEF5"/>
    <w:lvl w:ilvl="0" w:tentative="0">
      <w:start w:val="2"/>
      <w:numFmt w:val="chineseCounting"/>
      <w:suff w:val="nothing"/>
      <w:lvlText w:val="%1、"/>
      <w:lvlJc w:val="left"/>
      <w:pPr>
        <w:ind w:left="66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51431"/>
    <w:rsid w:val="02BE4087"/>
    <w:rsid w:val="039D42A9"/>
    <w:rsid w:val="03C641BD"/>
    <w:rsid w:val="04385DF4"/>
    <w:rsid w:val="055C0CFD"/>
    <w:rsid w:val="056164EE"/>
    <w:rsid w:val="06A95BCC"/>
    <w:rsid w:val="0804732A"/>
    <w:rsid w:val="0C9B3DDC"/>
    <w:rsid w:val="0CC31899"/>
    <w:rsid w:val="0D5839F3"/>
    <w:rsid w:val="0EAC391A"/>
    <w:rsid w:val="0EFB3921"/>
    <w:rsid w:val="10507AC8"/>
    <w:rsid w:val="118343CB"/>
    <w:rsid w:val="11B07BC5"/>
    <w:rsid w:val="138E76FC"/>
    <w:rsid w:val="162D0B15"/>
    <w:rsid w:val="163A0AA4"/>
    <w:rsid w:val="173B0B4F"/>
    <w:rsid w:val="18FD10FF"/>
    <w:rsid w:val="19804F19"/>
    <w:rsid w:val="1AB92513"/>
    <w:rsid w:val="1AE20A8F"/>
    <w:rsid w:val="1B34243D"/>
    <w:rsid w:val="1B4F0EA7"/>
    <w:rsid w:val="1E7B293B"/>
    <w:rsid w:val="1E8465D7"/>
    <w:rsid w:val="1F812C2E"/>
    <w:rsid w:val="211B762A"/>
    <w:rsid w:val="21677059"/>
    <w:rsid w:val="229F5948"/>
    <w:rsid w:val="23B1294D"/>
    <w:rsid w:val="2AAE2BFC"/>
    <w:rsid w:val="2B4E6B98"/>
    <w:rsid w:val="2CFA08E0"/>
    <w:rsid w:val="2D8C45E1"/>
    <w:rsid w:val="2DCC756C"/>
    <w:rsid w:val="2EDE1FD3"/>
    <w:rsid w:val="32400EC1"/>
    <w:rsid w:val="35074580"/>
    <w:rsid w:val="35527A37"/>
    <w:rsid w:val="3A15747D"/>
    <w:rsid w:val="3B9545FC"/>
    <w:rsid w:val="3C606C27"/>
    <w:rsid w:val="3CAF318B"/>
    <w:rsid w:val="3CD947A1"/>
    <w:rsid w:val="3DBD339E"/>
    <w:rsid w:val="3FB577EF"/>
    <w:rsid w:val="40C66F4E"/>
    <w:rsid w:val="41744212"/>
    <w:rsid w:val="41996F10"/>
    <w:rsid w:val="41A8381F"/>
    <w:rsid w:val="41D25522"/>
    <w:rsid w:val="41D35F64"/>
    <w:rsid w:val="45171A75"/>
    <w:rsid w:val="457118BB"/>
    <w:rsid w:val="47761AAB"/>
    <w:rsid w:val="48275230"/>
    <w:rsid w:val="482766A4"/>
    <w:rsid w:val="4A291DA4"/>
    <w:rsid w:val="4B4D4710"/>
    <w:rsid w:val="4C0579C7"/>
    <w:rsid w:val="4D4F1BBF"/>
    <w:rsid w:val="4D674BB9"/>
    <w:rsid w:val="4E0540A5"/>
    <w:rsid w:val="4E754A87"/>
    <w:rsid w:val="53496C93"/>
    <w:rsid w:val="569B6CA6"/>
    <w:rsid w:val="5736070D"/>
    <w:rsid w:val="57A30FEF"/>
    <w:rsid w:val="59AC0D22"/>
    <w:rsid w:val="59E74B13"/>
    <w:rsid w:val="5B136F36"/>
    <w:rsid w:val="5BF37D52"/>
    <w:rsid w:val="5D6C58CD"/>
    <w:rsid w:val="5E8F3532"/>
    <w:rsid w:val="5F3620F0"/>
    <w:rsid w:val="5F3D4511"/>
    <w:rsid w:val="5F8C4881"/>
    <w:rsid w:val="62F85AFF"/>
    <w:rsid w:val="65551431"/>
    <w:rsid w:val="65902CAD"/>
    <w:rsid w:val="66FF7097"/>
    <w:rsid w:val="67261F0A"/>
    <w:rsid w:val="67775A02"/>
    <w:rsid w:val="68756903"/>
    <w:rsid w:val="69AD61DA"/>
    <w:rsid w:val="6A973926"/>
    <w:rsid w:val="6B56596D"/>
    <w:rsid w:val="6B91441D"/>
    <w:rsid w:val="6D8403C4"/>
    <w:rsid w:val="71100A44"/>
    <w:rsid w:val="713740F4"/>
    <w:rsid w:val="718B2350"/>
    <w:rsid w:val="73171C4B"/>
    <w:rsid w:val="74BE39DD"/>
    <w:rsid w:val="785C427D"/>
    <w:rsid w:val="789203E8"/>
    <w:rsid w:val="79FD0BAD"/>
    <w:rsid w:val="7C1A7D5C"/>
    <w:rsid w:val="7CD12D06"/>
    <w:rsid w:val="7D76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94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2021-01-25T01:04:00Z</dcterms:created>
  <dc:creator>Admin</dc:creator>
  <cp:lastModifiedBy>市人民政府房屋征收管理中心</cp:lastModifiedBy>
  <cp:lastPrinted>2021-12-30T08:37:00Z</cp:lastPrinted>
  <dcterms:modified xsi:type="dcterms:W3CDTF">2021-12-31T01:44:40Z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