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880" w:firstLineChars="200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余姚市人民政府2021年政府信息公开工作年度报告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报告依据《中华人民共和国政府信息公开条例》（国务院令第711号，以下简称新《条例》）和《国务院办公厅政府信息与政务公开办公室关于印发《中华人民共和国政府信息公开工作年度报告格式》的通知》（国办公开办函〔2021〕30号）要求，由余姚市人民政府结合有关统计数据编制。本年度报告中所列数据的统计期限自2021年1月1日起至2021年12月31日止。本年度报告的电子版可以从余姚市人民政府网站（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"http://www.yy.gov.cn/"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Style w:val="8"/>
          <w:rFonts w:hint="eastAsia" w:ascii="仿宋_GB2312" w:eastAsia="仿宋_GB2312"/>
          <w:sz w:val="32"/>
          <w:szCs w:val="32"/>
        </w:rPr>
        <w:t>http://www.yy.gov.cn/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）下载。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一、总体情况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余姚市坚持以习近平新时代中国特色社会主义思想为指导，深入贯彻党的十九大和十九届二中、三中、四中、五中全会精神，严格落实《条例》和《国务院办公厅关于印发2021年政务公开工作要点的通知》（国办发〔2021〕12号）的要求。同时积极</w:t>
      </w:r>
      <w:r>
        <w:rPr>
          <w:rFonts w:hint="eastAsia" w:ascii="仿宋_GB2312" w:eastAsia="仿宋_GB2312"/>
          <w:sz w:val="32"/>
          <w:szCs w:val="32"/>
          <w:lang w:eastAsia="zh-CN"/>
        </w:rPr>
        <w:t>对照</w:t>
      </w:r>
      <w:r>
        <w:rPr>
          <w:rFonts w:hint="eastAsia" w:ascii="仿宋_GB2312" w:eastAsia="仿宋_GB2312"/>
          <w:sz w:val="32"/>
          <w:szCs w:val="32"/>
        </w:rPr>
        <w:t>《2021年浙江省政务公开工作要点》和《2021年宁波市政务公开工作要点》明确目标任务，紧紧围绕社会群众关注关切，强政策发布的力度和时效，持续提升公开质量和治理效能，取得积极成效。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（一）主动公开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，余姚市人民政府通过不同渠道主动公开政府信息47633条，其中余姚市人民政府网站主动公开政府信息18378条，政务新媒体公开政府信息29255条。包括财政信息专题信息150件、营商环境专题信息320余件、疫情专题信息240余件、行政规范性文件13件，行政规范性文件及市政府常务会议图解解读28件等。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544185" cy="2675255"/>
            <wp:effectExtent l="0" t="0" r="18415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539105" cy="3535045"/>
            <wp:effectExtent l="0" t="0" r="4445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（二）依申请公开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以完善内部操作指引为抓手、以</w:t>
      </w:r>
      <w:r>
        <w:rPr>
          <w:rFonts w:hint="eastAsia" w:ascii="仿宋_GB2312" w:eastAsia="仿宋_GB2312"/>
          <w:sz w:val="32"/>
          <w:szCs w:val="32"/>
          <w:lang w:eastAsia="zh-CN"/>
        </w:rPr>
        <w:t>各部门政府信息公开</w:t>
      </w:r>
      <w:r>
        <w:rPr>
          <w:rFonts w:hint="eastAsia" w:ascii="仿宋_GB2312" w:eastAsia="仿宋_GB2312"/>
          <w:sz w:val="32"/>
          <w:szCs w:val="32"/>
        </w:rPr>
        <w:t>为重点，全面提升</w:t>
      </w:r>
      <w:r>
        <w:rPr>
          <w:rFonts w:hint="eastAsia" w:ascii="仿宋_GB2312" w:eastAsia="仿宋_GB2312"/>
          <w:sz w:val="32"/>
          <w:szCs w:val="32"/>
          <w:lang w:eastAsia="zh-CN"/>
        </w:rPr>
        <w:t>余姚市</w:t>
      </w:r>
      <w:r>
        <w:rPr>
          <w:rFonts w:hint="eastAsia" w:ascii="仿宋_GB2312" w:eastAsia="仿宋_GB2312"/>
          <w:sz w:val="32"/>
          <w:szCs w:val="32"/>
        </w:rPr>
        <w:t>依申请公开工作办理质量。全年共收到依申请公开件2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03</w:t>
      </w:r>
      <w:r>
        <w:rPr>
          <w:rFonts w:hint="eastAsia" w:ascii="仿宋_GB2312" w:eastAsia="仿宋_GB2312"/>
          <w:sz w:val="32"/>
          <w:szCs w:val="32"/>
        </w:rPr>
        <w:t>件，</w:t>
      </w:r>
      <w:r>
        <w:rPr>
          <w:rFonts w:hint="eastAsia" w:ascii="仿宋_GB2312" w:eastAsia="仿宋_GB2312"/>
          <w:sz w:val="32"/>
          <w:szCs w:val="32"/>
          <w:lang w:eastAsia="zh-CN"/>
        </w:rPr>
        <w:t>结转上年度办理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4件，</w:t>
      </w:r>
      <w:r>
        <w:rPr>
          <w:rFonts w:hint="eastAsia" w:ascii="仿宋_GB2312" w:eastAsia="仿宋_GB2312"/>
          <w:sz w:val="32"/>
          <w:szCs w:val="32"/>
          <w:lang w:eastAsia="zh-CN"/>
        </w:rPr>
        <w:t>总共办件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207件。其中206件以办理结束，进行了答复；</w:t>
      </w:r>
      <w:r>
        <w:rPr>
          <w:rFonts w:hint="eastAsia" w:ascii="仿宋_GB2312" w:eastAsia="仿宋_GB2312"/>
          <w:sz w:val="32"/>
          <w:szCs w:val="32"/>
        </w:rPr>
        <w:t>结转下年度办理1件</w:t>
      </w:r>
      <w:r>
        <w:rPr>
          <w:rFonts w:hint="eastAsia" w:ascii="仿宋_GB2312" w:eastAsia="仿宋_GB2312"/>
          <w:sz w:val="32"/>
          <w:szCs w:val="32"/>
          <w:lang w:eastAsia="zh-CN"/>
        </w:rPr>
        <w:t>。因依申请公开引起的行政复议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5件，其中结果维持2件，结果纠正1件，撤回2件，无因依申请公开引起的行政诉讼败诉案件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三</w:t>
      </w:r>
      <w:r>
        <w:rPr>
          <w:rFonts w:hint="eastAsia" w:ascii="仿宋_GB2312" w:eastAsia="仿宋_GB2312"/>
          <w:sz w:val="32"/>
          <w:szCs w:val="32"/>
        </w:rPr>
        <w:t>）平台建设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1.政府门户网站第一平台作用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2021年，余姚市设立了九个专题专栏，涵盖了疫情防控，十四五规划，营商环境，政务公开标准化等多项内容，</w:t>
      </w:r>
      <w:r>
        <w:rPr>
          <w:rFonts w:hint="eastAsia" w:ascii="仿宋_GB2312" w:eastAsia="仿宋_GB2312"/>
          <w:sz w:val="32"/>
          <w:szCs w:val="32"/>
          <w:lang w:eastAsia="zh-CN"/>
        </w:rPr>
        <w:t>发布信息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1000余条，</w:t>
      </w:r>
      <w:r>
        <w:rPr>
          <w:rFonts w:hint="eastAsia" w:ascii="仿宋_GB2312" w:eastAsia="仿宋_GB2312"/>
          <w:sz w:val="32"/>
          <w:szCs w:val="32"/>
        </w:rPr>
        <w:t>聚焦做好余姚市十四五规划工作、助力深化打造一流营商环境、做好涉疫信息公开，推动政务公开标准化建设，加强政务服务型功能，提升全市政务公开的质量和实效</w:t>
      </w:r>
      <w:r>
        <w:rPr>
          <w:rFonts w:hint="eastAsia" w:ascii="仿宋_GB2312" w:eastAsia="仿宋_GB2312"/>
          <w:sz w:val="32"/>
          <w:szCs w:val="32"/>
          <w:lang w:eastAsia="zh-CN"/>
        </w:rPr>
        <w:t>；打造了财政信息平台，通过集中统一平台定期公开政府预算和决算等信息。公开政府采购项目信息、采购文件等信息，共发布财政信息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300余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42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532755" cy="2752725"/>
            <wp:effectExtent l="0" t="0" r="1079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542280" cy="3131820"/>
            <wp:effectExtent l="0" t="0" r="1270" b="11430"/>
            <wp:docPr id="3" name="图片 3" descr="4D218979-4C23-4b14-94ED-5A149C6D1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218979-4C23-4b14-94ED-5A149C6D1B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862445" cy="3241040"/>
            <wp:effectExtent l="0" t="0" r="14605" b="16510"/>
            <wp:docPr id="2" name="图片 2" descr="46890BB3-9F92-4b9a-A509-517DFD23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890BB3-9F92-4b9a-A509-517DFD2371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42280" cy="3013075"/>
            <wp:effectExtent l="0" t="0" r="1270" b="15875"/>
            <wp:docPr id="18" name="图片 18" descr="688F9187-CA3E-4914-976F-6140EAFF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88F9187-CA3E-4914-976F-6140EAFF37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263515" cy="2792730"/>
            <wp:effectExtent l="0" t="0" r="1333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2.多种方式公开</w:t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2021年我市共纳入全省政务新媒体平台新媒体111个，其中微博平台36个，微信公众号71个，抖音短视频4个。全年发布信息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29255</w:t>
      </w:r>
      <w:r>
        <w:rPr>
          <w:rFonts w:hint="eastAsia" w:ascii="仿宋" w:hAnsi="仿宋" w:eastAsia="仿宋" w:cs="仿宋"/>
          <w:sz w:val="32"/>
          <w:szCs w:val="32"/>
        </w:rPr>
        <w:t>条，涵盖重大事件信息发布、政府信息公开，群众互动交流以及重大活动微博直播等内容。</w:t>
      </w:r>
    </w:p>
    <w:p>
      <w:pPr>
        <w:spacing w:line="240" w:lineRule="auto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2619375" cy="2667000"/>
            <wp:effectExtent l="0" t="0" r="9525" b="0"/>
            <wp:docPr id="7" name="图片 7" descr="34735CEE-25FF-4e32-99BE-179185EB4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735CEE-25FF-4e32-99BE-179185EB44A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四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）监督保障</w:t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针对政务公开工作面临的新形势、新任务、新要求，不断健全完善政府信息公开监督考核体系，组织第三方机构定期对我市政府信息公开工作开展考核，并将考核结果第一时间要求各部门，街道，乡镇整改；开展社会评议，对于群众不满意的栏目进行调整和整改，对整改不力的部门进行通报批评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评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二、主动公开政府信息情况</w:t>
      </w:r>
    </w:p>
    <w:tbl>
      <w:tblPr>
        <w:tblStyle w:val="5"/>
        <w:tblW w:w="84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2460"/>
        <w:gridCol w:w="2025"/>
        <w:gridCol w:w="2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84" w:type="dxa"/>
            <w:gridSpan w:val="4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信息内容</w:t>
            </w:r>
          </w:p>
        </w:tc>
        <w:tc>
          <w:tcPr>
            <w:tcW w:w="2460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本年</w:t>
            </w: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制发件数</w:t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本年</w:t>
            </w: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废止件数</w:t>
            </w:r>
          </w:p>
        </w:tc>
        <w:tc>
          <w:tcPr>
            <w:tcW w:w="2295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规    章</w:t>
            </w:r>
          </w:p>
        </w:tc>
        <w:tc>
          <w:tcPr>
            <w:tcW w:w="2460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2295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color w:val="auto"/>
                <w:sz w:val="24"/>
              </w:rPr>
              <w:t>规范性文件</w:t>
            </w:r>
          </w:p>
        </w:tc>
        <w:tc>
          <w:tcPr>
            <w:tcW w:w="2460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13</w:t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2295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84" w:type="dxa"/>
            <w:gridSpan w:val="4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信息内容</w:t>
            </w:r>
          </w:p>
        </w:tc>
        <w:tc>
          <w:tcPr>
            <w:tcW w:w="6780" w:type="dxa"/>
            <w:gridSpan w:val="3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行政许可</w:t>
            </w:r>
          </w:p>
        </w:tc>
        <w:tc>
          <w:tcPr>
            <w:tcW w:w="6780" w:type="dxa"/>
            <w:gridSpan w:val="3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413607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84" w:type="dxa"/>
            <w:gridSpan w:val="4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信息内容</w:t>
            </w:r>
          </w:p>
        </w:tc>
        <w:tc>
          <w:tcPr>
            <w:tcW w:w="6780" w:type="dxa"/>
            <w:gridSpan w:val="3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本年</w:t>
            </w:r>
            <w:r>
              <w:rPr>
                <w:rFonts w:hint="eastAsia" w:ascii="仿宋" w:hAnsi="仿宋" w:eastAsia="仿宋" w:cs="仿宋"/>
                <w:color w:val="auto"/>
                <w:sz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行政处罚</w:t>
            </w:r>
          </w:p>
        </w:tc>
        <w:tc>
          <w:tcPr>
            <w:tcW w:w="6780" w:type="dxa"/>
            <w:gridSpan w:val="3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行政强制</w:t>
            </w:r>
          </w:p>
        </w:tc>
        <w:tc>
          <w:tcPr>
            <w:tcW w:w="6780" w:type="dxa"/>
            <w:gridSpan w:val="3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462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84" w:type="dxa"/>
            <w:gridSpan w:val="4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信息内容</w:t>
            </w:r>
          </w:p>
        </w:tc>
        <w:tc>
          <w:tcPr>
            <w:tcW w:w="6780" w:type="dxa"/>
            <w:gridSpan w:val="3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行政事业性收费</w:t>
            </w:r>
          </w:p>
        </w:tc>
        <w:tc>
          <w:tcPr>
            <w:tcW w:w="6780" w:type="dxa"/>
            <w:gridSpan w:val="3"/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0</w:t>
            </w:r>
          </w:p>
        </w:tc>
      </w:tr>
    </w:tbl>
    <w:p>
      <w:pPr>
        <w:ind w:firstLine="440" w:firstLineChars="200"/>
        <w:rPr>
          <w:rFonts w:ascii="黑体" w:hAnsi="黑体" w:eastAsia="黑体"/>
          <w:sz w:val="22"/>
          <w:szCs w:val="32"/>
        </w:rPr>
      </w:pPr>
    </w:p>
    <w:p>
      <w:pPr>
        <w:spacing w:line="6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三、收到和处理政府信息公开申请情况</w:t>
      </w:r>
    </w:p>
    <w:tbl>
      <w:tblPr>
        <w:tblStyle w:val="5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3"/>
        <w:gridCol w:w="1644"/>
        <w:gridCol w:w="1644"/>
        <w:gridCol w:w="688"/>
        <w:gridCol w:w="688"/>
        <w:gridCol w:w="688"/>
        <w:gridCol w:w="688"/>
        <w:gridCol w:w="688"/>
        <w:gridCol w:w="688"/>
        <w:gridCol w:w="689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color w:val="auto"/>
              </w:rPr>
            </w:pPr>
            <w:r>
              <w:rPr>
                <w:rFonts w:hint="eastAsia" w:ascii="楷体" w:hAnsi="楷体" w:eastAsia="楷体" w:cs="楷体"/>
                <w:color w:val="auto"/>
                <w:kern w:val="0"/>
                <w:sz w:val="20"/>
                <w:szCs w:val="20"/>
                <w:lang w:val="en-US" w:eastAsia="zh-CN" w:bidi="ar"/>
              </w:rPr>
              <w:t>（本列数据的勾稽关系为：第一项加第二项之和，等于第三项加第四项之和）</w:t>
            </w:r>
          </w:p>
        </w:tc>
        <w:tc>
          <w:tcPr>
            <w:tcW w:w="4817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自然人</w:t>
            </w:r>
          </w:p>
        </w:tc>
        <w:tc>
          <w:tcPr>
            <w:tcW w:w="34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法人或其他组织</w:t>
            </w:r>
          </w:p>
        </w:tc>
        <w:tc>
          <w:tcPr>
            <w:tcW w:w="689" w:type="dxa"/>
            <w:vMerge w:val="restart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68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商业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科研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社会公益组织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法律服务机构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其他</w:t>
            </w:r>
          </w:p>
        </w:tc>
        <w:tc>
          <w:tcPr>
            <w:tcW w:w="689" w:type="dxa"/>
            <w:vMerge w:val="continue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hint="eastAsia" w:ascii="宋体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一、本年新收政府信息公开申请数量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177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二、上年结转政府信息公开申请数量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restart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三、本年度办理结果</w:t>
            </w:r>
          </w:p>
        </w:tc>
        <w:tc>
          <w:tcPr>
            <w:tcW w:w="328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（一）予以公开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328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（二）部分公开（</w:t>
            </w: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区分处理的，只记这一情形，不记其他情形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hAnsi="Calibri" w:cs="Calibri" w:asciiTheme="minorAscii" w:eastAsiaTheme="minorEastAsia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（三）不予公开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1.属于国家秘密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2.其他法律行政法规禁止公开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3.危及“三安全一稳定”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4.保护第三方合法权益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5.属于三类内部事务信息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6.属于四类过程性信息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7.属于行政执法案卷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8.属于行政查询事项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（四）无法提供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1.本机关不掌握相关政府信息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2.没有现成信息需要另行制作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3.补正后申请内容仍不明确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（五）不予处理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1.信访投诉举报类申请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3.要求提供公开出版物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4.无正当理由大量反复申请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5.要求行政机关确认或重新出具已获取信息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（六）其他处理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1.申请人无正当理由逾期不补正、行政机关不再处理其政府信息公开申请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3.其他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43" w:type="dxa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</w:p>
        </w:tc>
        <w:tc>
          <w:tcPr>
            <w:tcW w:w="328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（七）总计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仿宋" w:asciiTheme="minorAscii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四、结转下年度继续办理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Ascii"/>
                <w:color w:val="auto"/>
                <w:sz w:val="20"/>
                <w:szCs w:val="20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hAnsi="仿宋" w:eastAsia="仿宋" w:cs="仿宋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Ascii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" w:asciiTheme="minorAscii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hAnsi="等线" w:eastAsia="等线" w:cs="等线" w:asciiTheme="minorAscii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</w:tbl>
    <w:p>
      <w:pPr>
        <w:spacing w:line="6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四、政府信息公开行政复议、行政诉讼情况</w:t>
      </w: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gridSpan w:val="5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行政复议</w:t>
            </w:r>
            <w:r>
              <w:rPr>
                <w:rFonts w:ascii="仿宋" w:hAnsi="仿宋" w:eastAsia="仿宋" w:cs="仿宋"/>
                <w:sz w:val="24"/>
              </w:rPr>
              <w:br w:type="textWrapping"/>
            </w:r>
          </w:p>
        </w:tc>
        <w:tc>
          <w:tcPr>
            <w:tcW w:w="5680" w:type="dxa"/>
            <w:gridSpan w:val="10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行政诉讼</w:t>
            </w:r>
            <w:r>
              <w:rPr>
                <w:rFonts w:ascii="仿宋" w:hAnsi="仿宋" w:eastAsia="仿宋" w:cs="仿宋"/>
                <w:sz w:val="24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restart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结果维护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结果纠正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其他结果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尚未审结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总计</w:t>
            </w:r>
          </w:p>
        </w:tc>
        <w:tc>
          <w:tcPr>
            <w:tcW w:w="2840" w:type="dxa"/>
            <w:gridSpan w:val="5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color w:val="333333"/>
                <w:sz w:val="24"/>
                <w:shd w:val="clear" w:color="auto" w:fill="FFFFFF"/>
              </w:rPr>
              <w:t>未经复议直接起诉</w:t>
            </w:r>
          </w:p>
        </w:tc>
        <w:tc>
          <w:tcPr>
            <w:tcW w:w="2840" w:type="dxa"/>
            <w:gridSpan w:val="5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continue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568" w:type="dxa"/>
            <w:vMerge w:val="continue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568" w:type="dxa"/>
            <w:vMerge w:val="continue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568" w:type="dxa"/>
            <w:vMerge w:val="continue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568" w:type="dxa"/>
            <w:vMerge w:val="continue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结果维护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结果纠正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其他结果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尚未审结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总计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结果维护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结果纠正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其他结果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尚未审结</w:t>
            </w:r>
          </w:p>
        </w:tc>
        <w:tc>
          <w:tcPr>
            <w:tcW w:w="568" w:type="dxa"/>
            <w:shd w:val="clear" w:color="auto" w:fill="auto"/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5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>
            <w:pPr>
              <w:spacing w:line="540" w:lineRule="exact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0</w:t>
            </w:r>
          </w:p>
        </w:tc>
      </w:tr>
    </w:tbl>
    <w:p>
      <w:pPr>
        <w:spacing w:line="6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五、存在的主要问题及改进情况</w:t>
      </w:r>
    </w:p>
    <w:p>
      <w:pPr>
        <w:spacing w:line="600" w:lineRule="exact"/>
        <w:ind w:firstLine="640" w:firstLineChars="200"/>
        <w:rPr>
          <w:rFonts w:hint="eastAsia" w:ascii="楷体_GB2312" w:eastAsia="仿宋"/>
          <w:sz w:val="32"/>
          <w:szCs w:val="32"/>
          <w:lang w:eastAsia="zh-CN"/>
        </w:rPr>
      </w:pPr>
      <w:r>
        <w:rPr>
          <w:rFonts w:hint="eastAsia" w:ascii="楷体_GB2312" w:eastAsia="仿宋"/>
          <w:sz w:val="32"/>
          <w:szCs w:val="32"/>
          <w:lang w:eastAsia="zh-CN"/>
        </w:rPr>
        <w:t>（一）主要问题。一是在政府信息公开规范化方面还需要进一步加强。二是政务新媒体等平台作用还需加强，政务新媒体中存在较多更新不及时，内容错误等严重情况。</w:t>
      </w:r>
    </w:p>
    <w:p>
      <w:pPr>
        <w:spacing w:line="600" w:lineRule="exact"/>
        <w:ind w:firstLine="640" w:firstLineChars="200"/>
        <w:rPr>
          <w:rFonts w:hint="eastAsia" w:ascii="楷体_GB2312" w:eastAsia="仿宋"/>
          <w:sz w:val="32"/>
          <w:szCs w:val="32"/>
          <w:lang w:eastAsia="zh-CN"/>
        </w:rPr>
      </w:pPr>
      <w:r>
        <w:rPr>
          <w:rFonts w:hint="eastAsia" w:ascii="楷体_GB2312" w:eastAsia="仿宋"/>
          <w:sz w:val="32"/>
          <w:szCs w:val="32"/>
          <w:lang w:eastAsia="zh-CN"/>
        </w:rPr>
        <w:t>（二）改进措施。一是严格按照</w:t>
      </w:r>
      <w:r>
        <w:rPr>
          <w:rFonts w:hint="eastAsia" w:ascii="仿宋_GB2312" w:eastAsia="仿宋_GB2312"/>
          <w:sz w:val="32"/>
          <w:szCs w:val="32"/>
        </w:rPr>
        <w:t>《2021年浙江省政务公开工作要点》和《2021年宁波市政务公开工作要点》</w:t>
      </w:r>
      <w:r>
        <w:rPr>
          <w:rFonts w:hint="eastAsia" w:ascii="仿宋_GB2312" w:eastAsia="仿宋_GB2312"/>
          <w:sz w:val="32"/>
          <w:szCs w:val="32"/>
          <w:lang w:eastAsia="zh-CN"/>
        </w:rPr>
        <w:t>的要求，结合余姚市具体工作情况，对栏目进行合理规划设计，让信息发布内容更加规范，更有针对性</w:t>
      </w:r>
      <w:r>
        <w:rPr>
          <w:rFonts w:hint="eastAsia" w:ascii="楷体_GB2312" w:eastAsia="仿宋"/>
          <w:sz w:val="32"/>
          <w:szCs w:val="32"/>
          <w:lang w:eastAsia="zh-CN"/>
        </w:rPr>
        <w:t>。二是加强对政务新媒体的监管和整改，对于不需要的政务新媒体及时进行注销处理，对于仍在使用的新媒体加上监督力度，提早发现问题解决问题，对于整改不积极的部门进行通报和批评，直至整改完成。</w:t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六、其他需要报告的事项</w:t>
      </w:r>
    </w:p>
    <w:p>
      <w:pPr>
        <w:spacing w:line="600" w:lineRule="exact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无</w:t>
      </w:r>
    </w:p>
    <w:p>
      <w:pPr>
        <w:spacing w:line="600" w:lineRule="exact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余姚市人民政府</w:t>
      </w:r>
    </w:p>
    <w:p>
      <w:pPr>
        <w:spacing w:line="600" w:lineRule="exact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2021年12月31日</w:t>
      </w:r>
    </w:p>
    <w:sectPr>
      <w:headerReference r:id="rId3" w:type="default"/>
      <w:footerReference r:id="rId4" w:type="default"/>
      <w:footerReference r:id="rId5" w:type="even"/>
      <w:pgSz w:w="11906" w:h="16838"/>
      <w:pgMar w:top="1247" w:right="1474" w:bottom="1247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Style w:val="7"/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9</w:t>
    </w:r>
    <w:r>
      <w:rPr>
        <w:rFonts w:ascii="宋体" w:hAnsi="宋体"/>
        <w:sz w:val="28"/>
        <w:szCs w:val="28"/>
      </w:rPr>
      <w:fldChar w:fldCharType="end"/>
    </w:r>
    <w:r>
      <w:rPr>
        <w:rStyle w:val="7"/>
        <w:rFonts w:hint="eastAsia" w:ascii="宋体" w:hAnsi="宋体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23"/>
    <w:rsid w:val="00015014"/>
    <w:rsid w:val="000414BE"/>
    <w:rsid w:val="00045B54"/>
    <w:rsid w:val="00093D95"/>
    <w:rsid w:val="00095786"/>
    <w:rsid w:val="00097021"/>
    <w:rsid w:val="000B0E46"/>
    <w:rsid w:val="00101E08"/>
    <w:rsid w:val="001402A2"/>
    <w:rsid w:val="00156678"/>
    <w:rsid w:val="001A12F8"/>
    <w:rsid w:val="00281BDF"/>
    <w:rsid w:val="00287B31"/>
    <w:rsid w:val="0029497F"/>
    <w:rsid w:val="002B7BF1"/>
    <w:rsid w:val="002D0A1A"/>
    <w:rsid w:val="00352254"/>
    <w:rsid w:val="00364409"/>
    <w:rsid w:val="00404D96"/>
    <w:rsid w:val="004C73C8"/>
    <w:rsid w:val="004F4062"/>
    <w:rsid w:val="00723C7B"/>
    <w:rsid w:val="00731CE9"/>
    <w:rsid w:val="007344DB"/>
    <w:rsid w:val="00796E76"/>
    <w:rsid w:val="007E6B33"/>
    <w:rsid w:val="00834B1B"/>
    <w:rsid w:val="00846D1F"/>
    <w:rsid w:val="00882480"/>
    <w:rsid w:val="008A134B"/>
    <w:rsid w:val="008A3B9B"/>
    <w:rsid w:val="008E76B2"/>
    <w:rsid w:val="009C5D0F"/>
    <w:rsid w:val="00A031F3"/>
    <w:rsid w:val="00A34CDB"/>
    <w:rsid w:val="00A8056E"/>
    <w:rsid w:val="00AB3EF7"/>
    <w:rsid w:val="00AD0214"/>
    <w:rsid w:val="00B279C1"/>
    <w:rsid w:val="00BA6F49"/>
    <w:rsid w:val="00D23955"/>
    <w:rsid w:val="00D32979"/>
    <w:rsid w:val="00D44E9D"/>
    <w:rsid w:val="00D63988"/>
    <w:rsid w:val="00D77B7E"/>
    <w:rsid w:val="00D80523"/>
    <w:rsid w:val="00DF24B8"/>
    <w:rsid w:val="00E36A74"/>
    <w:rsid w:val="00E47586"/>
    <w:rsid w:val="00E905CA"/>
    <w:rsid w:val="00F21EBD"/>
    <w:rsid w:val="00F5211B"/>
    <w:rsid w:val="00FD2E6C"/>
    <w:rsid w:val="01B06A69"/>
    <w:rsid w:val="01F576CC"/>
    <w:rsid w:val="02826B5C"/>
    <w:rsid w:val="02FA7D9A"/>
    <w:rsid w:val="03EE5F11"/>
    <w:rsid w:val="047569B6"/>
    <w:rsid w:val="08946B89"/>
    <w:rsid w:val="0900570D"/>
    <w:rsid w:val="0DF15EF9"/>
    <w:rsid w:val="0E863D21"/>
    <w:rsid w:val="12B41EDC"/>
    <w:rsid w:val="13C975CD"/>
    <w:rsid w:val="1528053B"/>
    <w:rsid w:val="17845993"/>
    <w:rsid w:val="17C161A6"/>
    <w:rsid w:val="1A666C2D"/>
    <w:rsid w:val="1A97649E"/>
    <w:rsid w:val="1DA018BD"/>
    <w:rsid w:val="1DC82CBC"/>
    <w:rsid w:val="202D2E00"/>
    <w:rsid w:val="20C43C3E"/>
    <w:rsid w:val="21D71B63"/>
    <w:rsid w:val="22D12C95"/>
    <w:rsid w:val="242E30ED"/>
    <w:rsid w:val="251421AF"/>
    <w:rsid w:val="25B9692B"/>
    <w:rsid w:val="2657064A"/>
    <w:rsid w:val="275E4835"/>
    <w:rsid w:val="290C1F73"/>
    <w:rsid w:val="291E7E1C"/>
    <w:rsid w:val="2A4C5246"/>
    <w:rsid w:val="2C7A27F5"/>
    <w:rsid w:val="31AC4D8B"/>
    <w:rsid w:val="3278572E"/>
    <w:rsid w:val="32F93A0B"/>
    <w:rsid w:val="333335C5"/>
    <w:rsid w:val="336B273A"/>
    <w:rsid w:val="363E5ADA"/>
    <w:rsid w:val="36E50F85"/>
    <w:rsid w:val="37F4291B"/>
    <w:rsid w:val="39436D2E"/>
    <w:rsid w:val="3F5D6BB9"/>
    <w:rsid w:val="40EA0A64"/>
    <w:rsid w:val="41F158A1"/>
    <w:rsid w:val="427617BC"/>
    <w:rsid w:val="42AA17BA"/>
    <w:rsid w:val="444236C2"/>
    <w:rsid w:val="4A9B4F98"/>
    <w:rsid w:val="4B697468"/>
    <w:rsid w:val="4C595350"/>
    <w:rsid w:val="50364312"/>
    <w:rsid w:val="513F7DCC"/>
    <w:rsid w:val="51EB51C6"/>
    <w:rsid w:val="52F43CB6"/>
    <w:rsid w:val="53297A8C"/>
    <w:rsid w:val="56394B3B"/>
    <w:rsid w:val="56BD4B54"/>
    <w:rsid w:val="5FBC19A1"/>
    <w:rsid w:val="63CB3300"/>
    <w:rsid w:val="64C064C6"/>
    <w:rsid w:val="64EA54BD"/>
    <w:rsid w:val="65E723FA"/>
    <w:rsid w:val="66DA54C5"/>
    <w:rsid w:val="6C8E77A8"/>
    <w:rsid w:val="6D7A3592"/>
    <w:rsid w:val="6EB41E53"/>
    <w:rsid w:val="6FB90AAB"/>
    <w:rsid w:val="70C65F4A"/>
    <w:rsid w:val="747370E6"/>
    <w:rsid w:val="76380DB7"/>
    <w:rsid w:val="7A2D11EB"/>
    <w:rsid w:val="7C3C006A"/>
    <w:rsid w:val="7C712D3E"/>
    <w:rsid w:val="7CB7341D"/>
    <w:rsid w:val="7D85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qFormat/>
    <w:uiPriority w:val="0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53D2DE-42F7-4A2E-8E67-7B9EF8528E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901</Words>
  <Characters>5139</Characters>
  <Lines>42</Lines>
  <Paragraphs>12</Paragraphs>
  <TotalTime>21</TotalTime>
  <ScaleCrop>false</ScaleCrop>
  <LinksUpToDate>false</LinksUpToDate>
  <CharactersWithSpaces>6028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2021-03-22T01:20:00Z</dcterms:created>
  <dc:creator>个人用户</dc:creator>
  <cp:lastModifiedBy>匿名用户</cp:lastModifiedBy>
  <cp:lastPrinted>2021-03-25T07:25:00Z</cp:lastPrinted>
  <dcterms:modified xsi:type="dcterms:W3CDTF">2022-01-17T08:58:13Z</dcterms:modified>
  <dc:title>余姚市政府办公室2021年政府信息公开工作年度报告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