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余姚市人民政府招商中心201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lang w:eastAsia="zh-CN"/>
        </w:rPr>
        <w:t>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b w:val="0"/>
          <w:bCs w:val="0"/>
          <w:snapToGrid w:val="0"/>
          <w:kern w:val="0"/>
          <w:sz w:val="32"/>
          <w:szCs w:val="32"/>
          <w:highlight w:val="none"/>
          <w:lang w:val="en-US" w:eastAsia="zh-CN"/>
        </w:rPr>
      </w:pPr>
      <w:r>
        <w:rPr>
          <w:rFonts w:hint="eastAsia" w:ascii="Times New Roman" w:hAnsi="Times New Roman" w:eastAsia="仿宋_GB2312" w:cs="Times New Roman"/>
          <w:b w:val="0"/>
          <w:bCs w:val="0"/>
          <w:snapToGrid w:val="0"/>
          <w:kern w:val="0"/>
          <w:sz w:val="32"/>
          <w:szCs w:val="32"/>
          <w:highlight w:val="none"/>
          <w:lang w:val="en-US" w:eastAsia="zh-CN"/>
        </w:rPr>
        <w:t>根据《中华人民共和国政府信息公开条例》《国务院办公厅政府信息与政务公开办公室关于政府信息公开工作年度报告有关事项的通知》（国办公开办函〔2019〕60号）和余姚市政府关于信息公开工作部署要求，现将2019年市招商中心政府信息公开工作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b w:val="0"/>
          <w:bCs w:val="0"/>
          <w:snapToGrid w:val="0"/>
          <w:kern w:val="0"/>
          <w:sz w:val="32"/>
          <w:szCs w:val="32"/>
          <w:highlight w:val="none"/>
          <w:lang w:val="en-US" w:eastAsia="zh-CN"/>
        </w:rPr>
      </w:pPr>
      <w:r>
        <w:rPr>
          <w:rFonts w:hint="eastAsia" w:ascii="Times New Roman" w:hAnsi="Times New Roman" w:eastAsia="仿宋_GB2312" w:cs="Times New Roman"/>
          <w:b w:val="0"/>
          <w:bCs w:val="0"/>
          <w:snapToGrid w:val="0"/>
          <w:kern w:val="0"/>
          <w:sz w:val="32"/>
          <w:szCs w:val="32"/>
          <w:highlight w:val="none"/>
          <w:lang w:val="en-US" w:eastAsia="zh-CN"/>
        </w:rPr>
        <w:t>2019年在市委市政府的领导下，市招商中心高度重视政务公开工作，结合招商引资工作实际，围绕年初目标任务，加强组织协调，完善体制机制，拓展公开内容，狠抓责任落实，政务公开工作扎实有序推进。全年在市政府信息公开中主动公开信息157条</w:t>
      </w:r>
      <w:r>
        <w:rPr>
          <w:rFonts w:hint="eastAsia" w:ascii="仿宋_GB2312" w:hAnsi="宋体" w:eastAsia="仿宋_GB2312"/>
          <w:color w:val="000000"/>
          <w:sz w:val="32"/>
          <w:szCs w:val="32"/>
          <w:shd w:val="solid" w:color="FFFFFF" w:fill="auto"/>
        </w:rPr>
        <w:t>（</w:t>
      </w:r>
      <w:r>
        <w:rPr>
          <w:rFonts w:hint="eastAsia" w:ascii="仿宋_GB2312" w:hAnsi="宋体" w:eastAsia="仿宋_GB2312" w:cs="宋体"/>
          <w:color w:val="000000"/>
          <w:kern w:val="0"/>
          <w:sz w:val="32"/>
          <w:szCs w:val="32"/>
        </w:rPr>
        <w:t>法规公文及政策类信息</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条，人事信息</w:t>
      </w:r>
      <w:r>
        <w:rPr>
          <w:rFonts w:hint="eastAsia" w:ascii="仿宋_GB2312" w:hAnsi="宋体" w:eastAsia="仿宋_GB2312" w:cs="宋体"/>
          <w:color w:val="000000"/>
          <w:kern w:val="0"/>
          <w:sz w:val="32"/>
          <w:szCs w:val="32"/>
          <w:highlight w:val="none"/>
          <w:lang w:val="en-US" w:eastAsia="zh-CN"/>
        </w:rPr>
        <w:t>2</w:t>
      </w:r>
      <w:r>
        <w:rPr>
          <w:rFonts w:hint="eastAsia" w:ascii="仿宋_GB2312" w:hAnsi="宋体" w:eastAsia="仿宋_GB2312" w:cs="宋体"/>
          <w:color w:val="000000"/>
          <w:kern w:val="0"/>
          <w:sz w:val="32"/>
          <w:szCs w:val="32"/>
        </w:rPr>
        <w:t>条，财政预决算信息</w:t>
      </w:r>
      <w:r>
        <w:rPr>
          <w:rFonts w:hint="eastAsia" w:ascii="仿宋_GB2312" w:hAnsi="宋体" w:eastAsia="仿宋_GB2312" w:cs="宋体"/>
          <w:color w:val="000000"/>
          <w:kern w:val="0"/>
          <w:sz w:val="32"/>
          <w:szCs w:val="32"/>
          <w:highlight w:val="none"/>
        </w:rPr>
        <w:t>2</w:t>
      </w:r>
      <w:r>
        <w:rPr>
          <w:rFonts w:hint="eastAsia" w:ascii="仿宋_GB2312" w:hAnsi="宋体" w:eastAsia="仿宋_GB2312" w:cs="宋体"/>
          <w:color w:val="000000"/>
          <w:kern w:val="0"/>
          <w:sz w:val="32"/>
          <w:szCs w:val="32"/>
        </w:rPr>
        <w:t>条，工作动态类信息</w:t>
      </w:r>
      <w:r>
        <w:rPr>
          <w:rFonts w:hint="eastAsia" w:ascii="仿宋_GB2312" w:hAnsi="宋体" w:eastAsia="仿宋_GB2312" w:cs="宋体"/>
          <w:color w:val="000000"/>
          <w:kern w:val="0"/>
          <w:sz w:val="32"/>
          <w:szCs w:val="32"/>
          <w:highlight w:val="none"/>
        </w:rPr>
        <w:t>1</w:t>
      </w:r>
      <w:r>
        <w:rPr>
          <w:rFonts w:hint="eastAsia" w:ascii="仿宋_GB2312" w:hAnsi="宋体" w:eastAsia="仿宋_GB2312" w:cs="宋体"/>
          <w:color w:val="000000"/>
          <w:kern w:val="0"/>
          <w:sz w:val="32"/>
          <w:szCs w:val="32"/>
          <w:highlight w:val="none"/>
          <w:lang w:val="en-US" w:eastAsia="zh-CN"/>
        </w:rPr>
        <w:t>38</w:t>
      </w:r>
      <w:r>
        <w:rPr>
          <w:rFonts w:hint="eastAsia" w:ascii="仿宋_GB2312" w:hAnsi="宋体" w:eastAsia="仿宋_GB2312" w:cs="宋体"/>
          <w:color w:val="000000"/>
          <w:kern w:val="0"/>
          <w:sz w:val="32"/>
          <w:szCs w:val="32"/>
        </w:rPr>
        <w:t>条，公告公示信息</w:t>
      </w:r>
      <w:r>
        <w:rPr>
          <w:rFonts w:hint="eastAsia" w:ascii="仿宋_GB2312" w:hAnsi="宋体" w:eastAsia="仿宋_GB2312" w:cs="宋体"/>
          <w:color w:val="000000"/>
          <w:kern w:val="0"/>
          <w:sz w:val="32"/>
          <w:szCs w:val="32"/>
          <w:highlight w:val="none"/>
        </w:rPr>
        <w:t>7</w:t>
      </w:r>
      <w:r>
        <w:rPr>
          <w:rFonts w:hint="eastAsia" w:ascii="仿宋_GB2312" w:hAnsi="宋体" w:eastAsia="仿宋_GB2312" w:cs="宋体"/>
          <w:color w:val="000000"/>
          <w:kern w:val="0"/>
          <w:sz w:val="32"/>
          <w:szCs w:val="32"/>
        </w:rPr>
        <w:t>条</w:t>
      </w:r>
      <w:r>
        <w:rPr>
          <w:rFonts w:hint="eastAsia" w:ascii="仿宋_GB2312" w:hAnsi="宋体" w:eastAsia="仿宋_GB2312" w:cs="宋体"/>
          <w:color w:val="000000"/>
          <w:kern w:val="0"/>
          <w:sz w:val="32"/>
          <w:szCs w:val="32"/>
          <w:lang w:eastAsia="zh-CN"/>
        </w:rPr>
        <w:t>，</w:t>
      </w:r>
      <w:r>
        <w:rPr>
          <w:rFonts w:hint="eastAsia" w:ascii="仿宋_GB2312" w:hAnsi="宋体" w:eastAsia="仿宋_GB2312" w:cs="ˎ̥"/>
          <w:color w:val="000000"/>
          <w:sz w:val="32"/>
          <w:szCs w:val="32"/>
        </w:rPr>
        <w:t>本年报中所列数据统计时间截至201</w:t>
      </w:r>
      <w:r>
        <w:rPr>
          <w:rFonts w:hint="eastAsia" w:ascii="仿宋_GB2312" w:hAnsi="宋体" w:eastAsia="仿宋_GB2312" w:cs="ˎ̥"/>
          <w:color w:val="000000"/>
          <w:sz w:val="32"/>
          <w:szCs w:val="32"/>
          <w:lang w:val="en-US" w:eastAsia="zh-CN"/>
        </w:rPr>
        <w:t>9</w:t>
      </w:r>
      <w:r>
        <w:rPr>
          <w:rFonts w:hint="eastAsia" w:ascii="仿宋_GB2312" w:hAnsi="宋体" w:eastAsia="仿宋_GB2312" w:cs="ˎ̥"/>
          <w:color w:val="000000"/>
          <w:sz w:val="32"/>
          <w:szCs w:val="32"/>
        </w:rPr>
        <w:t>年12月</w:t>
      </w:r>
      <w:r>
        <w:rPr>
          <w:rFonts w:hint="eastAsia" w:ascii="仿宋_GB2312" w:hAnsi="宋体" w:eastAsia="仿宋_GB2312" w:cs="ˎ̥"/>
          <w:color w:val="000000"/>
          <w:sz w:val="32"/>
          <w:szCs w:val="32"/>
          <w:lang w:val="en-US" w:eastAsia="zh-CN"/>
        </w:rPr>
        <w:t>31</w:t>
      </w:r>
      <w:r>
        <w:rPr>
          <w:rFonts w:hint="eastAsia" w:ascii="仿宋_GB2312" w:hAnsi="宋体" w:eastAsia="仿宋_GB2312" w:cs="ˎ̥"/>
          <w:color w:val="000000"/>
          <w:sz w:val="32"/>
          <w:szCs w:val="32"/>
        </w:rPr>
        <w:t>日</w:t>
      </w:r>
      <w:r>
        <w:rPr>
          <w:rFonts w:hint="eastAsia" w:ascii="仿宋_GB2312" w:hAnsi="宋体" w:eastAsia="仿宋_GB2312" w:cs="宋体"/>
          <w:color w:val="000000"/>
          <w:kern w:val="0"/>
          <w:sz w:val="32"/>
          <w:szCs w:val="32"/>
        </w:rPr>
        <w:t>）</w:t>
      </w:r>
      <w:r>
        <w:rPr>
          <w:rFonts w:hint="eastAsia" w:ascii="Times New Roman" w:hAnsi="Times New Roman" w:eastAsia="仿宋_GB2312" w:cs="Times New Roman"/>
          <w:b w:val="0"/>
          <w:bCs w:val="0"/>
          <w:snapToGrid w:val="0"/>
          <w:kern w:val="0"/>
          <w:sz w:val="32"/>
          <w:szCs w:val="32"/>
          <w:highlight w:val="none"/>
          <w:lang w:val="en-US" w:eastAsia="zh-CN"/>
        </w:rPr>
        <w:t>。</w:t>
      </w:r>
    </w:p>
    <w:p>
      <w:pPr>
        <w:keepNext w:val="0"/>
        <w:keepLines w:val="0"/>
        <w:pageBreakBefore w:val="0"/>
        <w:kinsoku/>
        <w:wordWrap/>
        <w:overflowPunct/>
        <w:topLinePunct w:val="0"/>
        <w:autoSpaceDE/>
        <w:bidi w:val="0"/>
        <w:spacing w:line="580" w:lineRule="exact"/>
        <w:ind w:firstLine="480" w:firstLineChars="15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（一）明确责任分工，层层落实</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仿宋_GB2312" w:hAnsi="宋体" w:eastAsia="仿宋_GB2312"/>
          <w:color w:val="000000"/>
          <w:sz w:val="32"/>
          <w:szCs w:val="32"/>
        </w:rPr>
      </w:pPr>
      <w:r>
        <w:rPr>
          <w:rFonts w:hint="eastAsia" w:ascii="仿宋_GB2312" w:hAnsi="??" w:eastAsia="仿宋_GB2312" w:cs="宋体"/>
          <w:color w:val="000000"/>
          <w:kern w:val="0"/>
          <w:sz w:val="32"/>
          <w:szCs w:val="32"/>
        </w:rPr>
        <w:t>认真贯彻实施《条例》的要求，结合我</w:t>
      </w:r>
      <w:r>
        <w:rPr>
          <w:rFonts w:hint="eastAsia" w:ascii="仿宋_GB2312" w:hAnsi="??" w:eastAsia="仿宋_GB2312" w:cs="宋体"/>
          <w:color w:val="000000"/>
          <w:kern w:val="0"/>
          <w:sz w:val="32"/>
          <w:szCs w:val="32"/>
          <w:lang w:eastAsia="zh-CN"/>
        </w:rPr>
        <w:t>中心</w:t>
      </w:r>
      <w:r>
        <w:rPr>
          <w:rFonts w:hint="eastAsia" w:ascii="仿宋_GB2312" w:hAnsi="??" w:eastAsia="仿宋_GB2312" w:cs="宋体"/>
          <w:color w:val="000000"/>
          <w:kern w:val="0"/>
          <w:sz w:val="32"/>
          <w:szCs w:val="32"/>
        </w:rPr>
        <w:t>工作实际，</w:t>
      </w:r>
      <w:r>
        <w:rPr>
          <w:rFonts w:hint="eastAsia" w:ascii="仿宋_GB2312" w:hAnsi="微软雅黑" w:eastAsia="仿宋_GB2312"/>
          <w:color w:val="000000"/>
          <w:sz w:val="32"/>
          <w:szCs w:val="32"/>
          <w:shd w:val="clear" w:color="auto" w:fill="FFFFFF"/>
        </w:rPr>
        <w:t>由政务公开领导小组对</w:t>
      </w:r>
      <w:r>
        <w:rPr>
          <w:rFonts w:hint="eastAsia" w:ascii="仿宋_GB2312" w:hAnsi="微软雅黑" w:eastAsia="仿宋_GB2312"/>
          <w:color w:val="000000"/>
          <w:sz w:val="32"/>
          <w:szCs w:val="32"/>
          <w:shd w:val="clear" w:color="auto" w:fill="FFFFFF"/>
          <w:lang w:eastAsia="zh-CN"/>
        </w:rPr>
        <w:t>中心</w:t>
      </w:r>
      <w:r>
        <w:rPr>
          <w:rFonts w:hint="eastAsia" w:ascii="仿宋_GB2312" w:hAnsi="微软雅黑" w:eastAsia="仿宋_GB2312"/>
          <w:color w:val="000000"/>
          <w:sz w:val="32"/>
          <w:szCs w:val="32"/>
          <w:shd w:val="clear" w:color="auto" w:fill="FFFFFF"/>
        </w:rPr>
        <w:t>政务公开工作进行</w:t>
      </w:r>
      <w:r>
        <w:rPr>
          <w:rFonts w:hint="eastAsia" w:ascii="仿宋_GB2312" w:hAnsi="宋体" w:eastAsia="仿宋_GB2312"/>
          <w:color w:val="000000"/>
          <w:sz w:val="32"/>
          <w:szCs w:val="32"/>
        </w:rPr>
        <w:t>研究部署和协调指挥</w:t>
      </w:r>
      <w:r>
        <w:rPr>
          <w:rFonts w:hint="eastAsia" w:ascii="仿宋_GB2312" w:hAnsi="微软雅黑" w:eastAsia="仿宋_GB2312"/>
          <w:color w:val="000000"/>
          <w:sz w:val="32"/>
          <w:szCs w:val="32"/>
          <w:shd w:val="clear" w:color="auto" w:fill="FFFFFF"/>
        </w:rPr>
        <w:t>。领导小组下设办公室，具体负责政务公开的日常工作。办公室设在</w:t>
      </w:r>
      <w:r>
        <w:rPr>
          <w:rFonts w:hint="eastAsia" w:ascii="仿宋_GB2312" w:hAnsi="微软雅黑" w:eastAsia="仿宋_GB2312"/>
          <w:color w:val="000000"/>
          <w:sz w:val="32"/>
          <w:szCs w:val="32"/>
          <w:shd w:val="clear" w:color="auto" w:fill="FFFFFF"/>
          <w:lang w:eastAsia="zh-CN"/>
        </w:rPr>
        <w:t>中心</w:t>
      </w:r>
      <w:r>
        <w:rPr>
          <w:rFonts w:hint="eastAsia" w:ascii="仿宋_GB2312" w:hAnsi="微软雅黑" w:eastAsia="仿宋_GB2312"/>
          <w:color w:val="000000"/>
          <w:sz w:val="32"/>
          <w:szCs w:val="32"/>
          <w:shd w:val="clear" w:color="auto" w:fill="FFFFFF"/>
        </w:rPr>
        <w:t>办公室，</w:t>
      </w:r>
      <w:r>
        <w:rPr>
          <w:rFonts w:hint="eastAsia" w:ascii="仿宋_GB2312" w:hAnsi="宋体" w:eastAsia="仿宋_GB2312"/>
          <w:color w:val="000000"/>
          <w:sz w:val="32"/>
          <w:szCs w:val="32"/>
        </w:rPr>
        <w:t>配备专人负责政务公开，收集、整理和发送各类政务信息。按照“谁主管，谁负责”的原则，明确了各科室工作职责，形成上下联动、整体推进的工作体系，确保政务信息公开各项工作</w:t>
      </w:r>
      <w:r>
        <w:rPr>
          <w:rFonts w:hint="eastAsia" w:ascii="仿宋_GB2312" w:hAnsi="微软雅黑" w:eastAsia="仿宋_GB2312"/>
          <w:color w:val="000000"/>
          <w:sz w:val="32"/>
          <w:szCs w:val="32"/>
          <w:shd w:val="clear" w:color="auto" w:fill="FFFFFF"/>
        </w:rPr>
        <w:t>责任到人，层层落实。</w:t>
      </w:r>
    </w:p>
    <w:p>
      <w:pPr>
        <w:keepNext w:val="0"/>
        <w:keepLines w:val="0"/>
        <w:pageBreakBefore w:val="0"/>
        <w:shd w:val="clear" w:color="auto" w:fill="FFFFFF"/>
        <w:kinsoku/>
        <w:wordWrap/>
        <w:overflowPunct/>
        <w:topLinePunct w:val="0"/>
        <w:autoSpaceDE/>
        <w:bidi w:val="0"/>
        <w:spacing w:line="580" w:lineRule="exact"/>
        <w:ind w:firstLine="480" w:firstLineChars="150"/>
        <w:textAlignment w:val="auto"/>
        <w:rPr>
          <w:rFonts w:hint="eastAsia" w:ascii="楷体" w:hAnsi="楷体" w:eastAsia="楷体" w:cs="楷体"/>
          <w:color w:val="000000"/>
          <w:kern w:val="0"/>
          <w:sz w:val="32"/>
          <w:szCs w:val="32"/>
        </w:rPr>
      </w:pPr>
      <w:r>
        <w:rPr>
          <w:rFonts w:hint="eastAsia" w:ascii="楷体" w:hAnsi="楷体" w:eastAsia="楷体" w:cs="楷体"/>
          <w:color w:val="000000"/>
          <w:sz w:val="32"/>
          <w:szCs w:val="32"/>
          <w:shd w:val="solid" w:color="FFFFFF" w:fill="auto"/>
        </w:rPr>
        <w:t>（二）</w:t>
      </w:r>
      <w:r>
        <w:rPr>
          <w:rFonts w:hint="eastAsia" w:ascii="楷体" w:hAnsi="楷体" w:eastAsia="楷体" w:cs="楷体"/>
          <w:color w:val="000000"/>
          <w:kern w:val="0"/>
          <w:sz w:val="32"/>
          <w:szCs w:val="32"/>
        </w:rPr>
        <w:t>夯实工作基础，服务公众</w:t>
      </w:r>
    </w:p>
    <w:p>
      <w:pPr>
        <w:keepNext w:val="0"/>
        <w:keepLines w:val="0"/>
        <w:pageBreakBefore w:val="0"/>
        <w:widowControl/>
        <w:shd w:val="clear" w:color="auto" w:fill="FFFFFF"/>
        <w:kinsoku/>
        <w:wordWrap/>
        <w:overflowPunct/>
        <w:topLinePunct w:val="0"/>
        <w:autoSpaceDE/>
        <w:bidi w:val="0"/>
        <w:spacing w:line="580" w:lineRule="exact"/>
        <w:ind w:firstLine="640" w:firstLineChars="200"/>
        <w:jc w:val="left"/>
        <w:textAlignment w:val="auto"/>
        <w:rPr>
          <w:rFonts w:hint="eastAsia" w:ascii="仿宋_GB2312" w:hAnsi="宋体" w:eastAsia="仿宋_GB2312"/>
          <w:color w:val="000000"/>
          <w:sz w:val="32"/>
          <w:szCs w:val="32"/>
        </w:rPr>
      </w:pPr>
      <w:r>
        <w:rPr>
          <w:rFonts w:hint="eastAsia" w:ascii="仿宋_GB2312" w:hAnsi="微软雅黑" w:eastAsia="仿宋_GB2312" w:cs="宋体"/>
          <w:color w:val="000000"/>
          <w:kern w:val="0"/>
          <w:sz w:val="32"/>
          <w:szCs w:val="32"/>
        </w:rPr>
        <w:t>信息公开网站作为政府信息公开的窗口，发挥着极为重要的作用。我</w:t>
      </w:r>
      <w:r>
        <w:rPr>
          <w:rFonts w:hint="eastAsia" w:ascii="仿宋_GB2312" w:hAnsi="微软雅黑" w:eastAsia="仿宋_GB2312" w:cs="宋体"/>
          <w:color w:val="000000"/>
          <w:kern w:val="0"/>
          <w:sz w:val="32"/>
          <w:szCs w:val="32"/>
          <w:lang w:eastAsia="zh-CN"/>
        </w:rPr>
        <w:t>中心</w:t>
      </w:r>
      <w:r>
        <w:rPr>
          <w:rFonts w:hint="eastAsia" w:ascii="仿宋_GB2312" w:hAnsi="微软雅黑" w:eastAsia="仿宋_GB2312" w:cs="宋体"/>
          <w:color w:val="000000"/>
          <w:kern w:val="0"/>
          <w:sz w:val="32"/>
          <w:szCs w:val="32"/>
        </w:rPr>
        <w:t>及时准确公布相关政府信息，定期更新工作动态，适时更新政策法规及本单位文件、公告公示、财政信息等内容，按照方便公众知情、便于公众监督的原则，依托网站、政务双微、工作简报，多渠道公开政府信息并广泛发布全市招商项目信息，促进政府公开工作规范透明，推进全市</w:t>
      </w:r>
      <w:r>
        <w:rPr>
          <w:rFonts w:hint="eastAsia" w:ascii="仿宋_GB2312" w:hAnsi="宋体" w:eastAsia="仿宋_GB2312"/>
          <w:color w:val="000000"/>
          <w:sz w:val="32"/>
          <w:szCs w:val="32"/>
        </w:rPr>
        <w:t>传统优势产业改造提升和战略性新兴产业培育壮大，实现产业链延伸和产业结构优化调整。</w:t>
      </w:r>
    </w:p>
    <w:p>
      <w:pPr>
        <w:keepNext w:val="0"/>
        <w:keepLines w:val="0"/>
        <w:pageBreakBefore w:val="0"/>
        <w:widowControl/>
        <w:shd w:val="clear" w:color="auto" w:fill="FFFFFF"/>
        <w:kinsoku/>
        <w:wordWrap/>
        <w:overflowPunct/>
        <w:topLinePunct w:val="0"/>
        <w:autoSpaceDE/>
        <w:bidi w:val="0"/>
        <w:spacing w:line="58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（三）健全工作机制，保障有力</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Times New Roman" w:hAnsi="Times New Roman" w:eastAsia="仿宋_GB2312" w:cs="Times New Roman"/>
          <w:b w:val="0"/>
          <w:bCs w:val="0"/>
          <w:snapToGrid w:val="0"/>
          <w:kern w:val="0"/>
          <w:sz w:val="32"/>
          <w:szCs w:val="32"/>
          <w:highlight w:val="none"/>
          <w:lang w:val="en-US" w:eastAsia="zh-CN"/>
        </w:rPr>
      </w:pPr>
      <w:r>
        <w:rPr>
          <w:rFonts w:hint="eastAsia" w:ascii="仿宋_GB2312" w:hAnsi="宋体" w:eastAsia="仿宋_GB2312"/>
          <w:color w:val="000000"/>
          <w:sz w:val="32"/>
          <w:szCs w:val="32"/>
        </w:rPr>
        <w:t>健全</w:t>
      </w:r>
      <w:r>
        <w:rPr>
          <w:rFonts w:hint="eastAsia" w:ascii="仿宋_GB2312" w:hAnsi="宋体" w:eastAsia="仿宋_GB2312"/>
          <w:color w:val="000000"/>
          <w:sz w:val="32"/>
          <w:szCs w:val="32"/>
          <w:lang w:eastAsia="zh-CN"/>
        </w:rPr>
        <w:t>政务</w:t>
      </w:r>
      <w:r>
        <w:rPr>
          <w:rFonts w:hint="eastAsia" w:ascii="仿宋_GB2312" w:hAnsi="宋体" w:eastAsia="仿宋_GB2312"/>
          <w:color w:val="000000"/>
          <w:sz w:val="32"/>
          <w:szCs w:val="32"/>
        </w:rPr>
        <w:t>公开各项工作机制。如完善信息发布保密审查制度，明确审查程序和责任。</w:t>
      </w:r>
      <w:r>
        <w:rPr>
          <w:rFonts w:hint="eastAsia" w:ascii="仿宋_GB2312" w:hAnsi="微软雅黑" w:eastAsia="仿宋_GB2312" w:cs="宋体"/>
          <w:color w:val="000000"/>
          <w:kern w:val="0"/>
          <w:sz w:val="32"/>
          <w:szCs w:val="32"/>
        </w:rPr>
        <w:t>严格遵循“公开为原则，不公开为例外”的总要求，同时</w:t>
      </w:r>
      <w:r>
        <w:rPr>
          <w:rFonts w:hint="eastAsia" w:ascii="仿宋_GB2312" w:hAnsi="宋体" w:eastAsia="仿宋_GB2312"/>
          <w:color w:val="000000"/>
          <w:sz w:val="32"/>
          <w:szCs w:val="32"/>
          <w:shd w:val="solid" w:color="FFFFFF" w:fill="auto"/>
        </w:rPr>
        <w:t>严防涉密信息外传</w:t>
      </w:r>
      <w:r>
        <w:rPr>
          <w:rFonts w:hint="eastAsia" w:ascii="仿宋_GB2312" w:hAnsi="宋体" w:eastAsia="仿宋_GB2312"/>
          <w:color w:val="000000"/>
          <w:sz w:val="32"/>
          <w:szCs w:val="32"/>
        </w:rPr>
        <w:t>，确保</w:t>
      </w:r>
      <w:r>
        <w:rPr>
          <w:rFonts w:hint="eastAsia" w:ascii="仿宋_GB2312" w:hAnsi="宋体" w:eastAsia="仿宋_GB2312"/>
          <w:color w:val="000000"/>
          <w:sz w:val="32"/>
          <w:szCs w:val="32"/>
          <w:lang w:eastAsia="zh-CN"/>
        </w:rPr>
        <w:t>政务</w:t>
      </w:r>
      <w:r>
        <w:rPr>
          <w:rFonts w:hint="eastAsia" w:ascii="仿宋_GB2312" w:hAnsi="宋体" w:eastAsia="仿宋_GB2312"/>
          <w:color w:val="000000"/>
          <w:sz w:val="32"/>
          <w:szCs w:val="32"/>
        </w:rPr>
        <w:t>公开工作运行正常，政府信息公开咨询、依申请公开及答复工作均有序开展。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主动公开政府信息情况</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仿宋_GB2312" w:hAnsi="微软雅黑" w:eastAsia="仿宋_GB2312" w:cs="宋体"/>
          <w:color w:val="000000"/>
          <w:kern w:val="0"/>
          <w:sz w:val="32"/>
          <w:szCs w:val="32"/>
          <w:highlight w:val="none"/>
          <w:lang w:val="en-US" w:eastAsia="zh-CN"/>
        </w:rPr>
      </w:pPr>
      <w:r>
        <w:rPr>
          <w:rFonts w:hint="eastAsia" w:ascii="仿宋_GB2312" w:hAnsi="微软雅黑" w:eastAsia="仿宋_GB2312" w:cs="宋体"/>
          <w:color w:val="000000"/>
          <w:kern w:val="0"/>
          <w:sz w:val="32"/>
          <w:szCs w:val="32"/>
          <w:highlight w:val="none"/>
        </w:rPr>
        <w:t>市招商中心为余姚市人民政府直属事业单位，无法定或其他部门授予、委托的行政权力，因而无行政处罚、行政强制权力及相应信息。</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2"/>
        <w:gridCol w:w="2083"/>
        <w:gridCol w:w="1266"/>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2"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本年新制作数量</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本年新公开数量</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规章</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无</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规范性文件</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无</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8"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行政许可</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其他对外管理服务事项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0</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行政处罚</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无</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无　</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行政强制</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无</w:t>
            </w:r>
          </w:p>
        </w:tc>
        <w:tc>
          <w:tcPr>
            <w:tcW w:w="126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无</w:t>
            </w:r>
          </w:p>
        </w:tc>
        <w:tc>
          <w:tcPr>
            <w:tcW w:w="189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4"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上一年项目数量</w:t>
            </w:r>
          </w:p>
        </w:tc>
        <w:tc>
          <w:tcPr>
            <w:tcW w:w="315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行政事业性收费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无</w:t>
            </w:r>
          </w:p>
        </w:tc>
        <w:tc>
          <w:tcPr>
            <w:tcW w:w="315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8522" w:type="dxa"/>
            <w:gridSpan w:val="4"/>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信息内容</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采购项目数量</w:t>
            </w:r>
          </w:p>
        </w:tc>
        <w:tc>
          <w:tcPr>
            <w:tcW w:w="315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3282"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政府集中采购</w:t>
            </w:r>
          </w:p>
        </w:tc>
        <w:tc>
          <w:tcPr>
            <w:tcW w:w="208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21</w:t>
            </w:r>
          </w:p>
        </w:tc>
        <w:tc>
          <w:tcPr>
            <w:tcW w:w="3157"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87009元</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公开平台建设和信息发布情况</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bl>
      <w:tblPr>
        <w:tblStyle w:val="7"/>
        <w:tblW w:w="8880"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bookmarkStart w:id="0" w:name="_Hlk26876326"/>
            <w:r>
              <w:rPr>
                <w:rFonts w:hint="eastAsia" w:ascii="Times New Roman" w:hAnsi="Times New Roman" w:eastAsia="仿宋_GB2312" w:cs="Times New Roman"/>
                <w:b w:val="0"/>
                <w:bCs w:val="0"/>
                <w:snapToGrid w:val="0"/>
                <w:kern w:val="0"/>
                <w:sz w:val="24"/>
                <w:szCs w:val="24"/>
                <w:highlight w:val="none"/>
                <w:lang w:val="en-US" w:eastAsia="zh-CN"/>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（一）主动公开政府信息数</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157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107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（三）回应公众关注热点或重大舆情数</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（四）通过不同渠道和方式回应解读的情况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篇</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bookmarkEnd w:id="0"/>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四、收到和处理政府信息公开申请情况</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2019年，市招商中心未收到自然人、法人或其他组织的政府信息公开申请。</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8"/>
        <w:gridCol w:w="1096"/>
        <w:gridCol w:w="1363"/>
        <w:gridCol w:w="696"/>
        <w:gridCol w:w="696"/>
        <w:gridCol w:w="696"/>
        <w:gridCol w:w="696"/>
        <w:gridCol w:w="696"/>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（本列数据的勾稽关系为：第一项加第二项之和，等于第三项加第四项之和）</w:t>
            </w:r>
          </w:p>
        </w:tc>
        <w:tc>
          <w:tcPr>
            <w:tcW w:w="4873" w:type="dxa"/>
            <w:gridSpan w:val="7"/>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自然人</w:t>
            </w:r>
          </w:p>
        </w:tc>
        <w:tc>
          <w:tcPr>
            <w:tcW w:w="3480"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法人或其他组织</w:t>
            </w:r>
          </w:p>
        </w:tc>
        <w:tc>
          <w:tcPr>
            <w:tcW w:w="697"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商业企业</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科研机构</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社会公益组织</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法律服务机构</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w:t>
            </w:r>
          </w:p>
        </w:tc>
        <w:tc>
          <w:tcPr>
            <w:tcW w:w="697"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一、本年新收政府信息公开申请数量</w:t>
            </w:r>
          </w:p>
        </w:tc>
        <w:tc>
          <w:tcPr>
            <w:tcW w:w="696" w:type="dxa"/>
            <w:tcMar>
              <w:left w:w="108" w:type="dxa"/>
              <w:right w:w="108" w:type="dxa"/>
            </w:tcMar>
            <w:vAlign w:val="center"/>
          </w:tcPr>
          <w:p>
            <w:pPr>
              <w:pStyle w:val="2"/>
              <w:keepNext w:val="0"/>
              <w:keepLines w:val="0"/>
              <w:widowControl/>
              <w:suppressLineNumbers w:val="0"/>
              <w:jc w:val="both"/>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二、上年结转政府信息公开申请数量</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Times New Roman"/>
                <w:b w:val="0"/>
                <w:color w:val="333333"/>
                <w:kern w:val="0"/>
                <w:sz w:val="24"/>
                <w:szCs w:val="24"/>
                <w:lang w:val="en-US" w:eastAsia="zh-CN" w:bidi="ar"/>
              </w:rPr>
            </w:pPr>
            <w:r>
              <w:rPr>
                <w:rFonts w:hint="eastAsia" w:cs="Times New Roman"/>
                <w:b w:val="0"/>
                <w:color w:val="333333"/>
                <w:kern w:val="0"/>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三、本年度办理结果</w:t>
            </w: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（一）予以公开</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（二）部分公开（区分处理的，只计这一情形，不计其他情形）</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（三）不予公开</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1.属于国家秘密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2.其他法律行政法规禁止公开</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3.危及“三安全一稳定”</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4.保护第三方合法权益</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5.属于三类内部事务信息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6.属于四类过程性信息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7.属于行政执法案卷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8.属于行政查询事项</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（四）无法提供</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1.本机关不掌握相关政府信息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2.没有现成信息需要另行制作</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3.补正后申请内容仍不明确</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（五）不予处理</w:t>
            </w: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1.信访举报投诉类申请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2.重复申请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3.要求提供公开出版物</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4.无正当理由大量反复申请</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096"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1363"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5.要求行政机关确认或重新出具已获取信息</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（六）其他处理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188"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2459" w:type="dxa"/>
            <w:gridSpan w:val="2"/>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（七）总计</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47" w:type="dxa"/>
            <w:gridSpan w:val="3"/>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四、结转下年度继续办理</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6"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c>
          <w:tcPr>
            <w:tcW w:w="697"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黑体" w:hAnsi="黑体" w:eastAsia="黑体" w:cs="黑体"/>
          <w:b w:val="0"/>
          <w:bCs w:val="0"/>
          <w:snapToGrid w:val="0"/>
          <w:kern w:val="0"/>
          <w:sz w:val="32"/>
          <w:szCs w:val="32"/>
          <w:highlight w:val="none"/>
          <w:lang w:val="en-US" w:eastAsia="zh-CN"/>
        </w:rPr>
        <w:t>五、政府信息公开行政复议、行政诉讼情况</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0"/>
        <w:gridCol w:w="580"/>
        <w:gridCol w:w="580"/>
        <w:gridCol w:w="580"/>
        <w:gridCol w:w="580"/>
        <w:gridCol w:w="580"/>
        <w:gridCol w:w="580"/>
        <w:gridCol w:w="580"/>
        <w:gridCol w:w="580"/>
        <w:gridCol w:w="580"/>
        <w:gridCol w:w="580"/>
        <w:gridCol w:w="581"/>
        <w:gridCol w:w="581"/>
        <w:gridCol w:w="581"/>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00"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行政复议</w:t>
            </w:r>
          </w:p>
        </w:tc>
        <w:tc>
          <w:tcPr>
            <w:tcW w:w="5622" w:type="dxa"/>
            <w:gridSpan w:val="1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3840" w:firstLineChars="16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维持</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结果纠正</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其他结果</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580" w:type="dxa"/>
            <w:vMerge w:val="restart"/>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c>
          <w:tcPr>
            <w:tcW w:w="2900"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未经复议直接起诉</w:t>
            </w:r>
          </w:p>
        </w:tc>
        <w:tc>
          <w:tcPr>
            <w:tcW w:w="2722" w:type="dxa"/>
            <w:gridSpan w:val="5"/>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720" w:firstLineChars="3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vMerge w:val="continue"/>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结果维持</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结果纠正</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 果</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结果维 持</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结果纠 正</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其他结果</w:t>
            </w:r>
          </w:p>
        </w:tc>
        <w:tc>
          <w:tcPr>
            <w:tcW w:w="581"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尚未审结</w:t>
            </w:r>
          </w:p>
        </w:tc>
        <w:tc>
          <w:tcPr>
            <w:tcW w:w="399"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c>
          <w:tcPr>
            <w:tcW w:w="580" w:type="dxa"/>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0" w:type="dxa"/>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0" w:type="dxa"/>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0" w:type="dxa"/>
            <w:tcMar>
              <w:left w:w="108" w:type="dxa"/>
              <w:right w:w="108" w:type="dxa"/>
            </w:tcMar>
            <w:vAlign w:val="center"/>
          </w:tcPr>
          <w:p>
            <w:pPr>
              <w:keepNext w:val="0"/>
              <w:keepLines w:val="0"/>
              <w:pageBreakBefore w:val="0"/>
              <w:widowControl w:val="0"/>
              <w:tabs>
                <w:tab w:val="center" w:pos="182"/>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1" w:type="dxa"/>
            <w:tcMar>
              <w:left w:w="108" w:type="dxa"/>
              <w:right w:w="108" w:type="dxa"/>
            </w:tcMar>
            <w:vAlign w:val="center"/>
          </w:tcPr>
          <w:p>
            <w:pPr>
              <w:keepNext w:val="0"/>
              <w:keepLines w:val="0"/>
              <w:pageBreakBefore w:val="0"/>
              <w:widowControl w:val="0"/>
              <w:tabs>
                <w:tab w:val="center" w:pos="183"/>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1" w:type="dxa"/>
            <w:tcMar>
              <w:left w:w="108" w:type="dxa"/>
              <w:right w:w="108" w:type="dxa"/>
            </w:tcMar>
            <w:vAlign w:val="center"/>
          </w:tcPr>
          <w:p>
            <w:pPr>
              <w:keepNext w:val="0"/>
              <w:keepLines w:val="0"/>
              <w:pageBreakBefore w:val="0"/>
              <w:widowControl w:val="0"/>
              <w:tabs>
                <w:tab w:val="center" w:pos="183"/>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581" w:type="dxa"/>
            <w:tcMar>
              <w:left w:w="108" w:type="dxa"/>
              <w:right w:w="108" w:type="dxa"/>
            </w:tcMar>
            <w:vAlign w:val="center"/>
          </w:tcPr>
          <w:p>
            <w:pPr>
              <w:keepNext w:val="0"/>
              <w:keepLines w:val="0"/>
              <w:pageBreakBefore w:val="0"/>
              <w:widowControl w:val="0"/>
              <w:tabs>
                <w:tab w:val="center" w:pos="183"/>
              </w:tabs>
              <w:kinsoku/>
              <w:wordWrap/>
              <w:overflowPunct/>
              <w:topLinePunct w:val="0"/>
              <w:autoSpaceDE/>
              <w:autoSpaceDN/>
              <w:bidi w:val="0"/>
              <w:adjustRightInd/>
              <w:snapToGrid/>
              <w:spacing w:line="560" w:lineRule="exact"/>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ab/>
            </w:r>
            <w:r>
              <w:rPr>
                <w:rFonts w:hint="eastAsia" w:ascii="Times New Roman" w:hAnsi="Times New Roman" w:eastAsia="仿宋_GB2312" w:cs="Times New Roman"/>
                <w:b w:val="0"/>
                <w:bCs w:val="0"/>
                <w:snapToGrid w:val="0"/>
                <w:kern w:val="0"/>
                <w:sz w:val="24"/>
                <w:szCs w:val="24"/>
                <w:highlight w:val="none"/>
                <w:lang w:val="en-US" w:eastAsia="zh-CN"/>
              </w:rPr>
              <w:t>0</w:t>
            </w:r>
          </w:p>
        </w:tc>
        <w:tc>
          <w:tcPr>
            <w:tcW w:w="399"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00</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六、存在的主要问题及改进情况</w:t>
      </w:r>
    </w:p>
    <w:p>
      <w:pPr>
        <w:keepNext w:val="0"/>
        <w:keepLines w:val="0"/>
        <w:pageBreakBefore w:val="0"/>
        <w:kinsoku/>
        <w:wordWrap/>
        <w:overflowPunct/>
        <w:topLinePunct w:val="0"/>
        <w:autoSpaceDE/>
        <w:bidi w:val="0"/>
        <w:spacing w:line="580" w:lineRule="exact"/>
        <w:ind w:firstLine="601"/>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201</w:t>
      </w:r>
      <w:r>
        <w:rPr>
          <w:rFonts w:hint="eastAsia" w:ascii="仿宋_GB2312" w:hAnsi="宋体" w:eastAsia="仿宋_GB2312"/>
          <w:color w:val="000000"/>
          <w:sz w:val="32"/>
          <w:szCs w:val="32"/>
          <w:lang w:val="en-US" w:eastAsia="zh-CN"/>
        </w:rPr>
        <w:t>9</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eastAsia="zh-CN"/>
        </w:rPr>
        <w:t>市招商中心</w:t>
      </w:r>
      <w:r>
        <w:rPr>
          <w:rFonts w:hint="eastAsia" w:ascii="仿宋_GB2312" w:hAnsi="宋体" w:eastAsia="仿宋_GB2312"/>
          <w:color w:val="000000"/>
          <w:sz w:val="32"/>
          <w:szCs w:val="32"/>
        </w:rPr>
        <w:t>信息公开工作</w:t>
      </w:r>
      <w:r>
        <w:rPr>
          <w:rFonts w:hint="eastAsia" w:ascii="仿宋_GB2312" w:hAnsi="宋体" w:eastAsia="仿宋_GB2312"/>
          <w:color w:val="000000"/>
          <w:sz w:val="32"/>
          <w:szCs w:val="32"/>
          <w:lang w:eastAsia="zh-CN"/>
        </w:rPr>
        <w:t>在去年的基础上有了很大进步</w:t>
      </w:r>
      <w:r>
        <w:rPr>
          <w:rFonts w:hint="eastAsia" w:ascii="仿宋_GB2312" w:hAnsi="宋体" w:eastAsia="仿宋_GB2312"/>
          <w:color w:val="000000"/>
          <w:sz w:val="32"/>
          <w:szCs w:val="32"/>
        </w:rPr>
        <w:t>，但仍有一些不足：一是主动向社会公开信息的领域有待进一步拓展；二是相关工作人员的业务知识、业务技能有待进一步提高。</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s="ˎ̥"/>
          <w:color w:val="000000"/>
          <w:sz w:val="32"/>
          <w:szCs w:val="32"/>
          <w:lang w:val="en-US" w:eastAsia="zh-CN"/>
        </w:rPr>
        <w:t>2020</w:t>
      </w:r>
      <w:r>
        <w:rPr>
          <w:rFonts w:hint="eastAsia" w:ascii="仿宋_GB2312" w:hAnsi="宋体" w:eastAsia="仿宋_GB2312" w:cs="ˎ̥"/>
          <w:color w:val="000000"/>
          <w:sz w:val="32"/>
          <w:szCs w:val="32"/>
        </w:rPr>
        <w:t>年，</w:t>
      </w:r>
      <w:r>
        <w:rPr>
          <w:rFonts w:hint="eastAsia" w:ascii="仿宋_GB2312" w:hAnsi="宋体" w:eastAsia="仿宋_GB2312" w:cs="ˎ̥"/>
          <w:color w:val="000000"/>
          <w:sz w:val="32"/>
          <w:szCs w:val="32"/>
          <w:lang w:eastAsia="zh-CN"/>
        </w:rPr>
        <w:t>市招商中心</w:t>
      </w:r>
      <w:r>
        <w:rPr>
          <w:rFonts w:hint="eastAsia" w:ascii="仿宋_GB2312" w:hAnsi="宋体" w:eastAsia="仿宋_GB2312" w:cs="ˎ̥"/>
          <w:color w:val="000000"/>
          <w:sz w:val="32"/>
          <w:szCs w:val="32"/>
        </w:rPr>
        <w:t>将按照市政府的部署要求，继续加强</w:t>
      </w:r>
      <w:r>
        <w:rPr>
          <w:rFonts w:hint="eastAsia" w:ascii="仿宋_GB2312" w:hAnsi="宋体" w:eastAsia="仿宋_GB2312" w:cs="ˎ̥"/>
          <w:color w:val="000000"/>
          <w:sz w:val="32"/>
          <w:szCs w:val="32"/>
          <w:lang w:eastAsia="zh-CN"/>
        </w:rPr>
        <w:t>政务</w:t>
      </w:r>
      <w:r>
        <w:rPr>
          <w:rFonts w:hint="eastAsia" w:ascii="仿宋_GB2312" w:hAnsi="宋体" w:eastAsia="仿宋_GB2312" w:cs="ˎ̥"/>
          <w:color w:val="000000"/>
          <w:sz w:val="32"/>
          <w:szCs w:val="32"/>
        </w:rPr>
        <w:t>公开工作，规范信息公开程序，落实工作责任，完善体制机制，加大主动公开力度，继续提高政府信息公开水平，使社会公平享受政府信息资源。主要做好以下几个方面工作</w:t>
      </w:r>
      <w:r>
        <w:rPr>
          <w:rFonts w:hint="eastAsia" w:ascii="仿宋_GB2312" w:hAnsi="宋体" w:eastAsia="仿宋_GB2312"/>
          <w:color w:val="000000"/>
          <w:sz w:val="32"/>
          <w:szCs w:val="32"/>
        </w:rPr>
        <w:t>：</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仿宋_GB2312" w:hAnsi="宋体" w:eastAsia="仿宋_GB2312"/>
          <w:color w:val="000000"/>
          <w:sz w:val="32"/>
          <w:szCs w:val="32"/>
          <w:shd w:val="solid" w:color="FFFFFF" w:fill="auto"/>
        </w:rPr>
      </w:pPr>
      <w:r>
        <w:rPr>
          <w:rFonts w:hint="eastAsia" w:ascii="仿宋_GB2312" w:hAnsi="宋体" w:eastAsia="仿宋_GB2312"/>
          <w:color w:val="000000"/>
          <w:sz w:val="32"/>
          <w:szCs w:val="32"/>
        </w:rPr>
        <w:t>一是切实提高思想认识。进一步深入学习、认真贯彻落实《中华人民共和国政府信息公开条例》等法律法规，</w:t>
      </w:r>
      <w:r>
        <w:rPr>
          <w:rFonts w:hint="eastAsia" w:ascii="仿宋_GB2312" w:hAnsi="宋体" w:eastAsia="仿宋_GB2312"/>
          <w:color w:val="000000"/>
          <w:sz w:val="32"/>
          <w:szCs w:val="32"/>
          <w:shd w:val="solid" w:color="FFFFFF" w:fill="auto"/>
        </w:rPr>
        <w:t>及时做好各类公开范围内信息的收集、发布。</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仿宋_GB2312" w:hAnsi="宋体" w:eastAsia="仿宋_GB2312"/>
          <w:color w:val="000000"/>
          <w:sz w:val="32"/>
          <w:szCs w:val="32"/>
        </w:rPr>
        <w:t>二是</w:t>
      </w:r>
      <w:r>
        <w:rPr>
          <w:rFonts w:hint="eastAsia" w:ascii="仿宋_GB2312" w:eastAsia="仿宋_GB2312"/>
          <w:color w:val="000000"/>
          <w:sz w:val="32"/>
          <w:szCs w:val="32"/>
          <w:shd w:val="clear" w:color="auto" w:fill="FFFFFF"/>
        </w:rPr>
        <w:t>进一步规范主动公开和依申请公开信息范围、标准和程序，</w:t>
      </w:r>
      <w:r>
        <w:rPr>
          <w:rFonts w:hint="eastAsia" w:ascii="仿宋_GB2312" w:hAnsi="宋体" w:eastAsia="仿宋_GB2312"/>
          <w:color w:val="000000"/>
          <w:sz w:val="32"/>
          <w:szCs w:val="32"/>
        </w:rPr>
        <w:t>切实保障政府信息公开的统一性、协调性，</w:t>
      </w:r>
      <w:r>
        <w:rPr>
          <w:rFonts w:hint="eastAsia" w:ascii="仿宋_GB2312" w:eastAsia="仿宋_GB2312"/>
          <w:color w:val="000000"/>
          <w:sz w:val="32"/>
          <w:szCs w:val="32"/>
          <w:shd w:val="clear" w:color="auto" w:fill="FFFFFF"/>
        </w:rPr>
        <w:t>确保信息公开的准确性和及时性，</w:t>
      </w:r>
      <w:r>
        <w:rPr>
          <w:rFonts w:hint="eastAsia" w:ascii="仿宋_GB2312" w:hAnsi="宋体" w:eastAsia="仿宋_GB2312"/>
          <w:color w:val="000000"/>
          <w:sz w:val="32"/>
          <w:szCs w:val="32"/>
        </w:rPr>
        <w:t>为公众提供全方位、多层次的公共服务体系。</w:t>
      </w:r>
      <w:r>
        <w:rPr>
          <w:rFonts w:hint="eastAsia" w:ascii="仿宋_GB2312" w:eastAsia="仿宋_GB2312"/>
          <w:color w:val="000000"/>
          <w:sz w:val="32"/>
          <w:szCs w:val="32"/>
          <w:shd w:val="clear" w:color="auto" w:fill="FFFFFF"/>
        </w:rPr>
        <w:t>继续完善和充实政府信息公开内容，及时补充未公开信息，努力做到制度性、政策性内容长期公开，阶段性工作逐步公开，经常性工作及时公开，动态性工作随时公开</w:t>
      </w:r>
      <w:r>
        <w:rPr>
          <w:rFonts w:hint="eastAsia" w:ascii="仿宋_GB2312" w:eastAsia="仿宋_GB2312"/>
          <w:color w:val="000000"/>
          <w:sz w:val="32"/>
          <w:szCs w:val="32"/>
          <w:shd w:val="clear" w:color="auto" w:fill="FFFFFF"/>
          <w:lang w:eastAsia="zh-CN"/>
        </w:rPr>
        <w:t>，努力推动我中心政府信息工作迈上新台阶。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七、其他需要报告的事项</w:t>
      </w: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没有需要报告的其他事项。</w:t>
      </w: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 xml:space="preserve">                         余姚市人民政府招商中心</w:t>
      </w:r>
    </w:p>
    <w:p>
      <w:pPr>
        <w:keepNext w:val="0"/>
        <w:keepLines w:val="0"/>
        <w:pageBreakBefore w:val="0"/>
        <w:numPr>
          <w:ilvl w:val="0"/>
          <w:numId w:val="0"/>
        </w:numPr>
        <w:kinsoku/>
        <w:wordWrap/>
        <w:overflowPunct/>
        <w:topLinePunct w:val="0"/>
        <w:autoSpaceDE/>
        <w:bidi w:val="0"/>
        <w:spacing w:line="580" w:lineRule="exact"/>
        <w:ind w:firstLine="5446" w:firstLineChars="1702"/>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2020年1月20</w:t>
      </w:r>
      <w:bookmarkStart w:id="1" w:name="_GoBack"/>
      <w:bookmarkEnd w:id="1"/>
      <w:r>
        <w:rPr>
          <w:rFonts w:hint="eastAsia" w:ascii="仿宋_GB2312" w:eastAsia="仿宋_GB2312"/>
          <w:color w:val="000000"/>
          <w:sz w:val="32"/>
          <w:szCs w:val="32"/>
          <w:shd w:val="clear" w:color="auto" w:fill="FFFFFF"/>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58FE0"/>
    <w:multiLevelType w:val="singleLevel"/>
    <w:tmpl w:val="78D58F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850EB"/>
    <w:rsid w:val="01EB7DBC"/>
    <w:rsid w:val="02F05117"/>
    <w:rsid w:val="0809485A"/>
    <w:rsid w:val="2B5F61B4"/>
    <w:rsid w:val="2D6B1EBC"/>
    <w:rsid w:val="429850EB"/>
    <w:rsid w:val="438D338E"/>
    <w:rsid w:val="55C41E67"/>
    <w:rsid w:val="572F7579"/>
    <w:rsid w:val="5F2816D7"/>
    <w:rsid w:val="5F5A0731"/>
    <w:rsid w:val="780E4945"/>
    <w:rsid w:val="7F1A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Hyperlink"/>
    <w:basedOn w:val="3"/>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2020-02-25T01:56:00Z</dcterms:created>
  <dc:creator>Administrator</dc:creator>
  <cp:lastModifiedBy>Administrator</cp:lastModifiedBy>
  <dcterms:modified xsi:type="dcterms:W3CDTF">2020-03-26T02:36:23Z</dcterms:modified>
  <dc:title>余姚市人民政府招商中心2019年度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