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cs="方正小标宋简体"/>
          <w:sz w:val="44"/>
          <w:szCs w:val="44"/>
        </w:rPr>
        <w:t>余姚市人民政府朗霞街道办事处</w:t>
      </w:r>
    </w:p>
    <w:p>
      <w:pPr>
        <w:spacing w:line="560" w:lineRule="exact"/>
        <w:jc w:val="center"/>
        <w:rPr>
          <w:rFonts w:ascii="方正小标宋简体" w:eastAsia="方正小标宋简体"/>
          <w:sz w:val="44"/>
          <w:szCs w:val="44"/>
        </w:rPr>
      </w:pPr>
      <w:r>
        <w:rPr>
          <w:rFonts w:ascii="方正小标宋简体" w:eastAsia="方正小标宋简体" w:cs="方正小标宋简体"/>
          <w:sz w:val="44"/>
          <w:szCs w:val="44"/>
        </w:rPr>
        <w:t>2019</w:t>
      </w:r>
      <w:r>
        <w:rPr>
          <w:rFonts w:hint="eastAsia" w:ascii="方正小标宋简体" w:eastAsia="方正小标宋简体" w:cs="方正小标宋简体"/>
          <w:sz w:val="44"/>
          <w:szCs w:val="44"/>
        </w:rPr>
        <w:t>年政府信息公开工作年度报告</w:t>
      </w:r>
    </w:p>
    <w:p>
      <w:pPr>
        <w:spacing w:line="560" w:lineRule="exact"/>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本年报根据《中华人民共和国政府信息公开条例》（以下简称《条例》），</w:t>
      </w:r>
      <w:r>
        <w:rPr>
          <w:rFonts w:hint="eastAsia" w:ascii="仿宋_GB2312" w:eastAsia="仿宋_GB2312" w:cs="仿宋_GB2312"/>
          <w:snapToGrid w:val="0"/>
          <w:spacing w:val="-4"/>
          <w:sz w:val="32"/>
          <w:szCs w:val="32"/>
        </w:rPr>
        <w:t>按照</w:t>
      </w:r>
      <w:r>
        <w:rPr>
          <w:rFonts w:ascii="仿宋_GB2312" w:eastAsia="仿宋_GB2312" w:cs="仿宋_GB2312"/>
          <w:snapToGrid w:val="0"/>
          <w:spacing w:val="-4"/>
          <w:sz w:val="32"/>
          <w:szCs w:val="32"/>
        </w:rPr>
        <w:t>2019</w:t>
      </w:r>
      <w:r>
        <w:rPr>
          <w:rFonts w:hint="eastAsia" w:ascii="仿宋_GB2312" w:eastAsia="仿宋_GB2312" w:cs="仿宋_GB2312"/>
          <w:snapToGrid w:val="0"/>
          <w:spacing w:val="-4"/>
          <w:sz w:val="32"/>
          <w:szCs w:val="32"/>
        </w:rPr>
        <w:t>年余姚市人民政府政府信息公开工作实际编制而成。</w:t>
      </w:r>
      <w:r>
        <w:rPr>
          <w:rFonts w:hint="eastAsia" w:ascii="仿宋_GB2312" w:eastAsia="仿宋_GB2312" w:cs="仿宋_GB2312"/>
          <w:snapToGrid w:val="0"/>
          <w:color w:val="000000"/>
          <w:spacing w:val="-4"/>
          <w:sz w:val="32"/>
          <w:szCs w:val="32"/>
        </w:rPr>
        <w:t>本年报由总体情况、主动公开政府信息情况、收到和处理政府信息公开申请情况、政府信息公开行政复议、行政诉讼情况、存在的主要问题及改进情况、其它需要报告的事项等六个部分组成，并附相关数据统计。本年报中所列数据统计期限自</w:t>
      </w:r>
      <w:r>
        <w:rPr>
          <w:rFonts w:ascii="仿宋_GB2312" w:eastAsia="仿宋_GB2312" w:cs="仿宋_GB2312"/>
          <w:snapToGrid w:val="0"/>
          <w:color w:val="000000"/>
          <w:spacing w:val="-4"/>
          <w:sz w:val="32"/>
          <w:szCs w:val="32"/>
        </w:rPr>
        <w:t>2019</w:t>
      </w:r>
      <w:r>
        <w:rPr>
          <w:rFonts w:hint="eastAsia" w:ascii="仿宋_GB2312" w:eastAsia="仿宋_GB2312" w:cs="仿宋_GB2312"/>
          <w:snapToGrid w:val="0"/>
          <w:color w:val="000000"/>
          <w:spacing w:val="-4"/>
          <w:sz w:val="32"/>
          <w:szCs w:val="32"/>
        </w:rPr>
        <w:t>年</w:t>
      </w:r>
      <w:r>
        <w:rPr>
          <w:rFonts w:ascii="仿宋_GB2312" w:eastAsia="仿宋_GB2312" w:cs="仿宋_GB2312"/>
          <w:snapToGrid w:val="0"/>
          <w:color w:val="000000"/>
          <w:spacing w:val="-4"/>
          <w:sz w:val="32"/>
          <w:szCs w:val="32"/>
        </w:rPr>
        <w:t>1</w:t>
      </w:r>
      <w:r>
        <w:rPr>
          <w:rFonts w:hint="eastAsia" w:ascii="仿宋_GB2312" w:eastAsia="仿宋_GB2312" w:cs="仿宋_GB2312"/>
          <w:snapToGrid w:val="0"/>
          <w:color w:val="000000"/>
          <w:spacing w:val="-4"/>
          <w:sz w:val="32"/>
          <w:szCs w:val="32"/>
        </w:rPr>
        <w:t>月</w:t>
      </w:r>
      <w:r>
        <w:rPr>
          <w:rFonts w:ascii="仿宋_GB2312" w:eastAsia="仿宋_GB2312" w:cs="仿宋_GB2312"/>
          <w:snapToGrid w:val="0"/>
          <w:color w:val="000000"/>
          <w:spacing w:val="-4"/>
          <w:sz w:val="32"/>
          <w:szCs w:val="32"/>
        </w:rPr>
        <w:t>1</w:t>
      </w:r>
      <w:r>
        <w:rPr>
          <w:rFonts w:hint="eastAsia" w:ascii="仿宋_GB2312" w:eastAsia="仿宋_GB2312" w:cs="仿宋_GB2312"/>
          <w:snapToGrid w:val="0"/>
          <w:color w:val="000000"/>
          <w:spacing w:val="-4"/>
          <w:sz w:val="32"/>
          <w:szCs w:val="32"/>
        </w:rPr>
        <w:t>日起至</w:t>
      </w:r>
      <w:r>
        <w:rPr>
          <w:rFonts w:ascii="仿宋_GB2312" w:eastAsia="仿宋_GB2312" w:cs="仿宋_GB2312"/>
          <w:snapToGrid w:val="0"/>
          <w:color w:val="000000"/>
          <w:spacing w:val="-4"/>
          <w:sz w:val="32"/>
          <w:szCs w:val="32"/>
        </w:rPr>
        <w:t>2019</w:t>
      </w:r>
      <w:r>
        <w:rPr>
          <w:rFonts w:hint="eastAsia" w:ascii="仿宋_GB2312" w:eastAsia="仿宋_GB2312" w:cs="仿宋_GB2312"/>
          <w:snapToGrid w:val="0"/>
          <w:color w:val="000000"/>
          <w:spacing w:val="-4"/>
          <w:sz w:val="32"/>
          <w:szCs w:val="32"/>
        </w:rPr>
        <w:t>年</w:t>
      </w:r>
      <w:r>
        <w:rPr>
          <w:rFonts w:ascii="仿宋_GB2312" w:eastAsia="仿宋_GB2312" w:cs="仿宋_GB2312"/>
          <w:snapToGrid w:val="0"/>
          <w:color w:val="000000"/>
          <w:spacing w:val="-4"/>
          <w:sz w:val="32"/>
          <w:szCs w:val="32"/>
        </w:rPr>
        <w:t>12</w:t>
      </w:r>
      <w:r>
        <w:rPr>
          <w:rFonts w:hint="eastAsia" w:ascii="仿宋_GB2312" w:eastAsia="仿宋_GB2312" w:cs="仿宋_GB2312"/>
          <w:snapToGrid w:val="0"/>
          <w:color w:val="000000"/>
          <w:spacing w:val="-4"/>
          <w:sz w:val="32"/>
          <w:szCs w:val="32"/>
        </w:rPr>
        <w:t>月</w:t>
      </w:r>
      <w:r>
        <w:rPr>
          <w:rFonts w:ascii="仿宋_GB2312" w:eastAsia="仿宋_GB2312" w:cs="仿宋_GB2312"/>
          <w:snapToGrid w:val="0"/>
          <w:color w:val="000000"/>
          <w:spacing w:val="-4"/>
          <w:sz w:val="32"/>
          <w:szCs w:val="32"/>
        </w:rPr>
        <w:t>31</w:t>
      </w:r>
      <w:r>
        <w:rPr>
          <w:rFonts w:hint="eastAsia" w:ascii="仿宋_GB2312" w:eastAsia="仿宋_GB2312" w:cs="仿宋_GB2312"/>
          <w:snapToGrid w:val="0"/>
          <w:color w:val="000000"/>
          <w:spacing w:val="-4"/>
          <w:sz w:val="32"/>
          <w:szCs w:val="32"/>
        </w:rPr>
        <w:t>日止。</w:t>
      </w:r>
    </w:p>
    <w:p>
      <w:pPr>
        <w:spacing w:line="560" w:lineRule="exact"/>
        <w:ind w:firstLine="640" w:firstLineChars="200"/>
        <w:rPr>
          <w:rFonts w:ascii="黑体" w:eastAsia="黑体"/>
          <w:sz w:val="32"/>
          <w:szCs w:val="32"/>
        </w:rPr>
      </w:pPr>
      <w:r>
        <w:rPr>
          <w:rFonts w:hint="eastAsia" w:ascii="黑体" w:eastAsia="黑体" w:cs="黑体"/>
          <w:sz w:val="32"/>
          <w:szCs w:val="32"/>
        </w:rPr>
        <w:t>一、总体情况</w:t>
      </w:r>
    </w:p>
    <w:p>
      <w:pPr>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2019</w:t>
      </w:r>
      <w:r>
        <w:rPr>
          <w:rFonts w:hint="eastAsia" w:ascii="仿宋_GB2312" w:eastAsia="仿宋_GB2312" w:cs="仿宋_GB2312"/>
          <w:sz w:val="32"/>
          <w:szCs w:val="32"/>
        </w:rPr>
        <w:t>年，朗霞街道政府信息公开工作在余姚市政府的指导下，以建设法治政府、阳光政府为目标，</w:t>
      </w:r>
      <w:r>
        <w:rPr>
          <w:rFonts w:hint="eastAsia" w:ascii="仿宋_GB2312" w:eastAsia="仿宋_GB2312" w:cs="仿宋_GB2312"/>
          <w:snapToGrid w:val="0"/>
          <w:spacing w:val="-4"/>
          <w:sz w:val="32"/>
          <w:szCs w:val="32"/>
        </w:rPr>
        <w:t>扎实落实</w:t>
      </w:r>
      <w:r>
        <w:rPr>
          <w:rFonts w:hint="eastAsia" w:ascii="仿宋_GB2312" w:hAnsi="??" w:eastAsia="仿宋_GB2312" w:cs="仿宋_GB2312"/>
          <w:snapToGrid w:val="0"/>
          <w:color w:val="000000"/>
          <w:spacing w:val="-4"/>
          <w:sz w:val="32"/>
          <w:szCs w:val="32"/>
        </w:rPr>
        <w:t>《</w:t>
      </w:r>
      <w:r>
        <w:rPr>
          <w:rFonts w:hint="eastAsia" w:ascii="仿宋_GB2312" w:eastAsia="仿宋_GB2312" w:cs="仿宋_GB2312"/>
          <w:sz w:val="32"/>
          <w:szCs w:val="32"/>
        </w:rPr>
        <w:t>中华人民共和国政府信息公开条例</w:t>
      </w:r>
      <w:r>
        <w:rPr>
          <w:rFonts w:hint="eastAsia" w:ascii="仿宋_GB2312" w:hAnsi="??" w:eastAsia="仿宋_GB2312" w:cs="仿宋_GB2312"/>
          <w:snapToGrid w:val="0"/>
          <w:color w:val="000000"/>
          <w:spacing w:val="-4"/>
          <w:sz w:val="32"/>
          <w:szCs w:val="32"/>
        </w:rPr>
        <w:t>》</w:t>
      </w:r>
      <w:r>
        <w:rPr>
          <w:rFonts w:hint="eastAsia" w:ascii="仿宋_GB2312" w:eastAsia="仿宋_GB2312" w:cs="仿宋_GB2312"/>
          <w:sz w:val="32"/>
          <w:szCs w:val="32"/>
        </w:rPr>
        <w:t>要求，</w:t>
      </w:r>
      <w:r>
        <w:rPr>
          <w:rFonts w:hint="eastAsia" w:ascii="仿宋_GB2312" w:eastAsia="仿宋_GB2312" w:cs="仿宋_GB2312"/>
          <w:snapToGrid w:val="0"/>
          <w:spacing w:val="-4"/>
          <w:sz w:val="32"/>
          <w:szCs w:val="32"/>
        </w:rPr>
        <w:t>进一步加强领导，健全制度，落实责任，深化主动公开内容，规范依申请公开受理机制，优化公开平台，创新公开载体，朗霞街道政府信息公开工作呈现平稳运行、整体推进的良好态势。一年来，朗霞街道在政府信息公开基础性工作上着重抓了以下四个方面：</w:t>
      </w:r>
      <w:r>
        <w:rPr>
          <w:rFonts w:ascii="仿宋_GB2312" w:eastAsia="仿宋_GB2312" w:cs="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一）提高政治站位，细化责任分工。朗霞街道高度重视政府信息公开工作，把政务公开作为加强机关作风建设，促进业务开展，树立良好形象的重要举措，及时调整街道（园区）政府信息公开领导小组，由街道办事处主任担任领导小组组长，分管党群工作的副书记担任副组长，具体分管政府信息公开工作。同时，领导小组下设办公室，由党政办主任任办公室主任，其他机关各办线负责人为成员。办公室固定有</w:t>
      </w:r>
      <w:r>
        <w:rPr>
          <w:rFonts w:ascii="仿宋_GB2312" w:eastAsia="仿宋_GB2312" w:cs="仿宋_GB2312"/>
          <w:sz w:val="32"/>
          <w:szCs w:val="32"/>
        </w:rPr>
        <w:t>1</w:t>
      </w:r>
      <w:r>
        <w:rPr>
          <w:rFonts w:hint="eastAsia" w:ascii="仿宋_GB2312" w:eastAsia="仿宋_GB2312" w:cs="仿宋_GB2312"/>
          <w:sz w:val="32"/>
          <w:szCs w:val="32"/>
        </w:rPr>
        <w:t>名工作人员，负责收集、整理政府信息，并统一发布，确保信息公开全面、及时、准确，高标准抓好政务信息公开各项工作落实。</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（二）严把规章制度，落实保密审查。</w:t>
      </w:r>
      <w:r>
        <w:rPr>
          <w:rFonts w:hint="eastAsia" w:ascii="仿宋_GB2312" w:eastAsia="仿宋_GB2312" w:cs="仿宋_GB2312"/>
          <w:snapToGrid w:val="0"/>
          <w:spacing w:val="-4"/>
          <w:sz w:val="32"/>
          <w:szCs w:val="32"/>
        </w:rPr>
        <w:t>为加强政务公开工作，朗霞街道建立和完善了一系列政务公开相关制度，并严格执行，规范落实，以规范促公开，以公开促规范，并结合实际对相关制度进行修改和完善。</w:t>
      </w:r>
      <w:r>
        <w:rPr>
          <w:rFonts w:hint="eastAsia" w:ascii="仿宋_GB2312" w:eastAsia="仿宋_GB2312" w:cs="仿宋_GB2312"/>
          <w:sz w:val="32"/>
          <w:szCs w:val="32"/>
        </w:rPr>
        <w:t>在具体操作中，朗霞街道严格执行“</w:t>
      </w:r>
      <w:r>
        <w:rPr>
          <w:rFonts w:hint="eastAsia" w:ascii="仿宋_GB2312" w:hAnsi="??" w:eastAsia="仿宋_GB2312" w:cs="仿宋_GB2312"/>
          <w:snapToGrid w:val="0"/>
          <w:color w:val="000000"/>
          <w:spacing w:val="-4"/>
          <w:sz w:val="32"/>
          <w:szCs w:val="32"/>
        </w:rPr>
        <w:t>谁公开、谁审查、谁负责”“先审查、后公开”、“一事一审”等原则，切实做好信息公开保密审查，实行</w:t>
      </w:r>
      <w:r>
        <w:rPr>
          <w:rFonts w:hint="eastAsia" w:ascii="仿宋_GB2312" w:eastAsia="仿宋_GB2312" w:cs="仿宋_GB2312"/>
          <w:sz w:val="32"/>
          <w:szCs w:val="32"/>
        </w:rPr>
        <w:t>对外公开先对内公开、依申请公开统一接收分头办理、保密审查及工作责任追究等工作机制。</w:t>
      </w:r>
    </w:p>
    <w:p>
      <w:pPr>
        <w:spacing w:line="560" w:lineRule="exact"/>
        <w:ind w:firstLine="640" w:firstLineChars="200"/>
        <w:rPr>
          <w:rFonts w:ascii="仿宋_GB2312" w:hAnsi="??" w:eastAsia="仿宋_GB2312"/>
          <w:snapToGrid w:val="0"/>
          <w:color w:val="000000"/>
          <w:spacing w:val="-4"/>
          <w:sz w:val="32"/>
          <w:szCs w:val="32"/>
        </w:rPr>
      </w:pPr>
      <w:r>
        <w:rPr>
          <w:rFonts w:hint="eastAsia" w:ascii="仿宋_GB2312" w:eastAsia="仿宋_GB2312" w:cs="仿宋_GB2312"/>
          <w:sz w:val="32"/>
          <w:szCs w:val="32"/>
        </w:rPr>
        <w:t>（三）深化公开内容，丰富公开形式。为进一步拓宽政府信息公开的方式和途径，朗霞街道利用现有的政府网站、微信公众号、政务微博等其他公开方式积极做好政府信息发布、政策解读和办事服务工作，进一步增强公开实效，提高服务水平，</w:t>
      </w:r>
      <w:r>
        <w:rPr>
          <w:rFonts w:hint="eastAsia" w:ascii="仿宋_GB2312" w:hAnsi="??" w:eastAsia="仿宋_GB2312" w:cs="仿宋_GB2312"/>
          <w:snapToGrid w:val="0"/>
          <w:color w:val="000000"/>
          <w:spacing w:val="-4"/>
          <w:sz w:val="32"/>
          <w:szCs w:val="32"/>
        </w:rPr>
        <w:t>让公众能够通过不同的渠道获取信息。根据新修订的《条例》，及时调整和完善政府信息公开指南，为公众获取政府信息提供更好的服务。</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（四）</w:t>
      </w:r>
      <w:r>
        <w:rPr>
          <w:rFonts w:hint="eastAsia" w:ascii="仿宋_GB2312" w:hAnsi="宋体" w:eastAsia="仿宋_GB2312" w:cs="仿宋_GB2312"/>
          <w:color w:val="2B2B2B"/>
          <w:kern w:val="0"/>
          <w:sz w:val="32"/>
          <w:szCs w:val="32"/>
        </w:rPr>
        <w:t>强化知识培训，提升业务能力。针对政务信息公开工作人员流动性较大，</w:t>
      </w:r>
      <w:r>
        <w:rPr>
          <w:rFonts w:hint="eastAsia" w:ascii="仿宋_GB2312" w:hAnsi="??" w:eastAsia="仿宋_GB2312" w:cs="仿宋_GB2312"/>
          <w:snapToGrid w:val="0"/>
          <w:spacing w:val="-4"/>
          <w:sz w:val="32"/>
          <w:szCs w:val="32"/>
        </w:rPr>
        <w:t>朗霞街道分别在</w:t>
      </w:r>
      <w:r>
        <w:rPr>
          <w:rFonts w:hint="eastAsia" w:ascii="仿宋_GB2312" w:eastAsia="仿宋_GB2312" w:cs="仿宋_GB2312"/>
          <w:snapToGrid w:val="0"/>
          <w:spacing w:val="-4"/>
          <w:sz w:val="32"/>
          <w:szCs w:val="32"/>
        </w:rPr>
        <w:t>年初和年中召开信息工作会议，向街道各办线各村信息员提出工作要求，安排工作部署，并邀请有关专家进行业务辅导，有效提高信息员的业务素质和对政务信息工作的重视力度；在</w:t>
      </w:r>
      <w:r>
        <w:rPr>
          <w:rFonts w:ascii="仿宋_GB2312" w:eastAsia="仿宋_GB2312" w:cs="仿宋_GB2312"/>
          <w:snapToGrid w:val="0"/>
          <w:spacing w:val="-4"/>
          <w:sz w:val="32"/>
          <w:szCs w:val="32"/>
        </w:rPr>
        <w:t>11</w:t>
      </w:r>
      <w:r>
        <w:rPr>
          <w:rFonts w:hint="eastAsia" w:ascii="仿宋_GB2312" w:eastAsia="仿宋_GB2312" w:cs="仿宋_GB2312"/>
          <w:snapToGrid w:val="0"/>
          <w:spacing w:val="-4"/>
          <w:sz w:val="32"/>
          <w:szCs w:val="32"/>
        </w:rPr>
        <w:t>月</w:t>
      </w:r>
      <w:r>
        <w:rPr>
          <w:rFonts w:ascii="仿宋_GB2312" w:eastAsia="仿宋_GB2312" w:cs="仿宋_GB2312"/>
          <w:snapToGrid w:val="0"/>
          <w:spacing w:val="-4"/>
          <w:sz w:val="32"/>
          <w:szCs w:val="32"/>
        </w:rPr>
        <w:t>20</w:t>
      </w:r>
      <w:r>
        <w:rPr>
          <w:rFonts w:hint="eastAsia" w:ascii="仿宋_GB2312" w:eastAsia="仿宋_GB2312" w:cs="仿宋_GB2312"/>
          <w:snapToGrid w:val="0"/>
          <w:spacing w:val="-4"/>
          <w:sz w:val="32"/>
          <w:szCs w:val="32"/>
        </w:rPr>
        <w:t>日，组织工作人员赴市政府参加政务公开业务培训。通过培训，朗霞街道</w:t>
      </w:r>
      <w:r>
        <w:rPr>
          <w:rFonts w:hint="eastAsia" w:ascii="仿宋_GB2312" w:hAnsi="??" w:eastAsia="仿宋_GB2312" w:cs="仿宋_GB2312"/>
          <w:snapToGrid w:val="0"/>
          <w:color w:val="000000"/>
          <w:spacing w:val="-4"/>
          <w:sz w:val="32"/>
          <w:szCs w:val="32"/>
        </w:rPr>
        <w:t>政务</w:t>
      </w:r>
      <w:r>
        <w:rPr>
          <w:rFonts w:hint="eastAsia" w:ascii="仿宋_GB2312" w:eastAsia="仿宋_GB2312" w:cs="仿宋_GB2312"/>
          <w:snapToGrid w:val="0"/>
          <w:spacing w:val="-4"/>
          <w:sz w:val="32"/>
          <w:szCs w:val="32"/>
        </w:rPr>
        <w:t>公开队伍提高了思想认识，掌握了相关政策，理清了工作思路，提升了业务水平。</w:t>
      </w:r>
    </w:p>
    <w:p>
      <w:pPr>
        <w:spacing w:line="560" w:lineRule="exact"/>
        <w:ind w:firstLine="640" w:firstLineChars="200"/>
        <w:rPr>
          <w:rFonts w:ascii="黑体" w:eastAsia="黑体"/>
          <w:sz w:val="32"/>
          <w:szCs w:val="32"/>
        </w:rPr>
      </w:pPr>
      <w:r>
        <w:rPr>
          <w:rFonts w:hint="eastAsia" w:ascii="黑体" w:eastAsia="黑体" w:cs="黑体"/>
          <w:sz w:val="32"/>
          <w:szCs w:val="32"/>
        </w:rPr>
        <w:t>二、主动公开政府信息情况</w:t>
      </w:r>
    </w:p>
    <w:tbl>
      <w:tblPr>
        <w:tblStyle w:val="8"/>
        <w:tblW w:w="8140" w:type="dxa"/>
        <w:jc w:val="center"/>
        <w:tblInd w:w="0" w:type="dxa"/>
        <w:tblLayout w:type="fixed"/>
        <w:tblCellMar>
          <w:top w:w="15" w:type="dxa"/>
          <w:left w:w="15" w:type="dxa"/>
          <w:bottom w:w="15" w:type="dxa"/>
          <w:right w:w="15" w:type="dxa"/>
        </w:tblCellMar>
      </w:tblPr>
      <w:tblGrid>
        <w:gridCol w:w="3113"/>
        <w:gridCol w:w="1875"/>
        <w:gridCol w:w="6"/>
        <w:gridCol w:w="1265"/>
        <w:gridCol w:w="1881"/>
      </w:tblGrid>
      <w:tr>
        <w:tblPrEx>
          <w:tblLayout w:type="fixed"/>
          <w:tblCellMar>
            <w:top w:w="15" w:type="dxa"/>
            <w:left w:w="15" w:type="dxa"/>
            <w:bottom w:w="15" w:type="dxa"/>
            <w:right w:w="15"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第二十条第（一）项</w:t>
            </w:r>
          </w:p>
        </w:tc>
      </w:tr>
      <w:tr>
        <w:tblPrEx>
          <w:tblLayout w:type="fixed"/>
          <w:tblCellMar>
            <w:top w:w="15" w:type="dxa"/>
            <w:left w:w="15" w:type="dxa"/>
            <w:bottom w:w="15" w:type="dxa"/>
            <w:right w:w="15"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本年新</w:t>
            </w:r>
            <w:r>
              <w:rPr>
                <w:rFonts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制作数量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本年新</w:t>
            </w:r>
            <w:r>
              <w:rPr>
                <w:rFonts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公开数量</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对外公开总数量</w:t>
            </w:r>
          </w:p>
        </w:tc>
      </w:tr>
      <w:tr>
        <w:tblPrEx>
          <w:tblLayout w:type="fixed"/>
          <w:tblCellMar>
            <w:top w:w="15" w:type="dxa"/>
            <w:left w:w="15" w:type="dxa"/>
            <w:bottom w:w="15" w:type="dxa"/>
            <w:right w:w="15"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规章</w:t>
            </w:r>
          </w:p>
        </w:tc>
        <w:tc>
          <w:tcPr>
            <w:tcW w:w="187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宋体" w:asciiTheme="minorEastAsia" w:hAnsiTheme="minorEastAsia" w:eastAsiaTheme="minorEastAsia"/>
                <w:color w:val="000000"/>
                <w:kern w:val="0"/>
                <w:sz w:val="20"/>
                <w:szCs w:val="20"/>
              </w:rPr>
              <w:t>0</w:t>
            </w:r>
          </w:p>
        </w:tc>
        <w:tc>
          <w:tcPr>
            <w:tcW w:w="127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宋体" w:asciiTheme="minorEastAsia" w:hAnsiTheme="minorEastAsia" w:eastAsiaTheme="minorEastAsia"/>
                <w:color w:val="000000"/>
                <w:kern w:val="0"/>
                <w:sz w:val="20"/>
                <w:szCs w:val="20"/>
              </w:rPr>
              <w:t>0</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宋体" w:asciiTheme="minorEastAsia" w:hAnsiTheme="minorEastAsia" w:eastAsiaTheme="minorEastAsia"/>
                <w:color w:val="000000"/>
                <w:kern w:val="0"/>
                <w:sz w:val="20"/>
                <w:szCs w:val="20"/>
              </w:rPr>
              <w:t>0</w:t>
            </w:r>
          </w:p>
        </w:tc>
      </w:tr>
      <w:tr>
        <w:tblPrEx>
          <w:tblLayout w:type="fixed"/>
          <w:tblCellMar>
            <w:top w:w="15" w:type="dxa"/>
            <w:left w:w="15" w:type="dxa"/>
            <w:bottom w:w="15" w:type="dxa"/>
            <w:right w:w="15"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规范性文件</w:t>
            </w:r>
          </w:p>
        </w:tc>
        <w:tc>
          <w:tcPr>
            <w:tcW w:w="187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宋体" w:asciiTheme="minorEastAsia" w:hAnsiTheme="minorEastAsia" w:eastAsiaTheme="minorEastAsia"/>
                <w:color w:val="000000"/>
                <w:kern w:val="0"/>
                <w:sz w:val="20"/>
                <w:szCs w:val="20"/>
              </w:rPr>
              <w:t>0</w:t>
            </w:r>
          </w:p>
        </w:tc>
        <w:tc>
          <w:tcPr>
            <w:tcW w:w="127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宋体" w:asciiTheme="minorEastAsia" w:hAnsiTheme="minorEastAsia" w:eastAsiaTheme="minorEastAsia"/>
                <w:color w:val="000000"/>
                <w:kern w:val="0"/>
                <w:sz w:val="20"/>
                <w:szCs w:val="20"/>
              </w:rPr>
              <w:t>0</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宋体" w:asciiTheme="minorEastAsia" w:hAnsiTheme="minorEastAsia" w:eastAsiaTheme="minorEastAsia"/>
                <w:color w:val="000000"/>
                <w:kern w:val="0"/>
                <w:sz w:val="20"/>
                <w:szCs w:val="20"/>
              </w:rPr>
              <w:t>0</w:t>
            </w:r>
          </w:p>
        </w:tc>
      </w:tr>
      <w:tr>
        <w:tblPrEx>
          <w:tblLayout w:type="fixed"/>
          <w:tblCellMar>
            <w:top w:w="15" w:type="dxa"/>
            <w:left w:w="15" w:type="dxa"/>
            <w:bottom w:w="15" w:type="dxa"/>
            <w:right w:w="15"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第二十条第（五）项</w:t>
            </w:r>
          </w:p>
        </w:tc>
      </w:tr>
      <w:tr>
        <w:tblPrEx>
          <w:tblLayout w:type="fixed"/>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本年增</w:t>
            </w:r>
            <w:r>
              <w:rPr>
                <w:rFonts w:cs="宋体"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减</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处理决定数量</w:t>
            </w:r>
          </w:p>
        </w:tc>
      </w:tr>
      <w:tr>
        <w:tblPrEx>
          <w:tblLayout w:type="fixed"/>
          <w:tblCellMar>
            <w:top w:w="15" w:type="dxa"/>
            <w:left w:w="15" w:type="dxa"/>
            <w:bottom w:w="15" w:type="dxa"/>
            <w:right w:w="15"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行政许可</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宋体" w:asciiTheme="minorEastAsia" w:hAnsiTheme="minorEastAsia" w:eastAsiaTheme="minorEastAsia"/>
                <w:color w:val="000000"/>
                <w:kern w:val="0"/>
                <w:sz w:val="20"/>
                <w:szCs w:val="20"/>
              </w:rPr>
              <w:t>0</w:t>
            </w:r>
          </w:p>
        </w:tc>
        <w:tc>
          <w:tcPr>
            <w:tcW w:w="12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宋体" w:asciiTheme="minorEastAsia" w:hAnsiTheme="minorEastAsia" w:eastAsiaTheme="minorEastAsia"/>
                <w:color w:val="000000"/>
                <w:kern w:val="0"/>
                <w:sz w:val="20"/>
                <w:szCs w:val="20"/>
              </w:rPr>
              <w:t>0</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宋体" w:asciiTheme="minorEastAsia" w:hAnsiTheme="minorEastAsia" w:eastAsiaTheme="minorEastAsia"/>
                <w:color w:val="000000"/>
                <w:kern w:val="0"/>
                <w:sz w:val="20"/>
                <w:szCs w:val="20"/>
              </w:rPr>
              <w:t>0</w:t>
            </w:r>
          </w:p>
        </w:tc>
      </w:tr>
      <w:tr>
        <w:tblPrEx>
          <w:tblLayout w:type="fixed"/>
          <w:tblCellMar>
            <w:top w:w="15" w:type="dxa"/>
            <w:left w:w="15" w:type="dxa"/>
            <w:bottom w:w="15" w:type="dxa"/>
            <w:right w:w="15"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宋体" w:asciiTheme="minorEastAsia" w:hAnsiTheme="minorEastAsia" w:eastAsiaTheme="minorEastAsia"/>
                <w:color w:val="000000"/>
                <w:kern w:val="0"/>
                <w:sz w:val="20"/>
                <w:szCs w:val="20"/>
              </w:rPr>
              <w:t>0</w:t>
            </w:r>
          </w:p>
        </w:tc>
        <w:tc>
          <w:tcPr>
            <w:tcW w:w="12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宋体" w:asciiTheme="minorEastAsia" w:hAnsiTheme="minorEastAsia" w:eastAsiaTheme="minorEastAsia"/>
                <w:color w:val="000000"/>
                <w:kern w:val="0"/>
                <w:sz w:val="20"/>
                <w:szCs w:val="20"/>
              </w:rPr>
              <w:t>0</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宋体" w:asciiTheme="minorEastAsia" w:hAnsiTheme="minorEastAsia" w:eastAsiaTheme="minorEastAsia"/>
                <w:color w:val="000000"/>
                <w:kern w:val="0"/>
                <w:sz w:val="20"/>
                <w:szCs w:val="20"/>
              </w:rPr>
              <w:t>0</w:t>
            </w:r>
          </w:p>
        </w:tc>
      </w:tr>
      <w:tr>
        <w:tblPrEx>
          <w:tblLayout w:type="fixed"/>
          <w:tblCellMar>
            <w:top w:w="15" w:type="dxa"/>
            <w:left w:w="15" w:type="dxa"/>
            <w:bottom w:w="15" w:type="dxa"/>
            <w:right w:w="15"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第二十条第（六）项</w:t>
            </w:r>
          </w:p>
        </w:tc>
      </w:tr>
      <w:tr>
        <w:tblPrEx>
          <w:tblLayout w:type="fixed"/>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本年增</w:t>
            </w:r>
            <w:r>
              <w:rPr>
                <w:rFonts w:cs="宋体"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减</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处理决定数量</w:t>
            </w:r>
          </w:p>
        </w:tc>
      </w:tr>
      <w:tr>
        <w:tblPrEx>
          <w:tblLayout w:type="fixed"/>
          <w:tblCellMar>
            <w:top w:w="15" w:type="dxa"/>
            <w:left w:w="15" w:type="dxa"/>
            <w:bottom w:w="15" w:type="dxa"/>
            <w:right w:w="15"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行政处罚</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宋体" w:asciiTheme="minorEastAsia" w:hAnsiTheme="minorEastAsia" w:eastAsiaTheme="minorEastAsia"/>
                <w:color w:val="000000"/>
                <w:kern w:val="0"/>
                <w:sz w:val="20"/>
                <w:szCs w:val="20"/>
              </w:rPr>
              <w:t>0</w:t>
            </w:r>
          </w:p>
        </w:tc>
        <w:tc>
          <w:tcPr>
            <w:tcW w:w="12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宋体" w:asciiTheme="minorEastAsia" w:hAnsiTheme="minorEastAsia" w:eastAsiaTheme="minorEastAsia"/>
                <w:color w:val="000000"/>
                <w:kern w:val="0"/>
                <w:sz w:val="20"/>
                <w:szCs w:val="20"/>
              </w:rPr>
              <w:t>0</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宋体" w:asciiTheme="minorEastAsia" w:hAnsiTheme="minorEastAsia" w:eastAsiaTheme="minorEastAsia"/>
                <w:color w:val="000000"/>
                <w:kern w:val="0"/>
                <w:sz w:val="20"/>
                <w:szCs w:val="20"/>
              </w:rPr>
              <w:t>0</w:t>
            </w:r>
          </w:p>
        </w:tc>
      </w:tr>
      <w:tr>
        <w:tblPrEx>
          <w:tblLayout w:type="fixed"/>
          <w:tblCellMar>
            <w:top w:w="15" w:type="dxa"/>
            <w:left w:w="15" w:type="dxa"/>
            <w:bottom w:w="15" w:type="dxa"/>
            <w:right w:w="15"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行政强制</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宋体" w:asciiTheme="minorEastAsia" w:hAnsiTheme="minorEastAsia" w:eastAsiaTheme="minorEastAsia"/>
                <w:color w:val="000000"/>
                <w:kern w:val="0"/>
                <w:sz w:val="20"/>
                <w:szCs w:val="20"/>
              </w:rPr>
              <w:t>0</w:t>
            </w:r>
          </w:p>
        </w:tc>
        <w:tc>
          <w:tcPr>
            <w:tcW w:w="12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宋体" w:asciiTheme="minorEastAsia" w:hAnsiTheme="minorEastAsia" w:eastAsiaTheme="minorEastAsia"/>
                <w:color w:val="000000"/>
                <w:kern w:val="0"/>
                <w:sz w:val="20"/>
                <w:szCs w:val="20"/>
              </w:rPr>
              <w:t>0</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宋体" w:asciiTheme="minorEastAsia" w:hAnsiTheme="minorEastAsia" w:eastAsiaTheme="minorEastAsia"/>
                <w:color w:val="000000"/>
                <w:kern w:val="0"/>
                <w:sz w:val="20"/>
                <w:szCs w:val="20"/>
              </w:rPr>
              <w:t>0</w:t>
            </w:r>
          </w:p>
        </w:tc>
      </w:tr>
      <w:tr>
        <w:tblPrEx>
          <w:tblLayout w:type="fixed"/>
          <w:tblCellMar>
            <w:top w:w="15" w:type="dxa"/>
            <w:left w:w="15" w:type="dxa"/>
            <w:bottom w:w="15" w:type="dxa"/>
            <w:right w:w="15"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第二十条第（八）项</w:t>
            </w:r>
          </w:p>
        </w:tc>
      </w:tr>
      <w:tr>
        <w:tblPrEx>
          <w:tblLayout w:type="fixed"/>
          <w:tblCellMar>
            <w:top w:w="15" w:type="dxa"/>
            <w:left w:w="15" w:type="dxa"/>
            <w:bottom w:w="15" w:type="dxa"/>
            <w:right w:w="15"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信息内容</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本年增</w:t>
            </w:r>
            <w:r>
              <w:rPr>
                <w:rFonts w:cs="宋体"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减</w:t>
            </w:r>
          </w:p>
        </w:tc>
      </w:tr>
      <w:tr>
        <w:tblPrEx>
          <w:tblLayout w:type="fixed"/>
          <w:tblCellMar>
            <w:top w:w="15" w:type="dxa"/>
            <w:left w:w="15" w:type="dxa"/>
            <w:bottom w:w="15" w:type="dxa"/>
            <w:right w:w="15"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行政事业性收费</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宋体" w:asciiTheme="minorEastAsia" w:hAnsiTheme="minorEastAsia" w:eastAsiaTheme="minorEastAsia"/>
                <w:color w:val="000000"/>
                <w:kern w:val="0"/>
                <w:sz w:val="20"/>
                <w:szCs w:val="20"/>
              </w:rPr>
              <w:t>0</w:t>
            </w:r>
          </w:p>
        </w:tc>
        <w:tc>
          <w:tcPr>
            <w:tcW w:w="3146" w:type="dxa"/>
            <w:gridSpan w:val="2"/>
            <w:tcBorders>
              <w:top w:val="nil"/>
              <w:left w:val="nil"/>
              <w:bottom w:val="single" w:color="auto" w:sz="8" w:space="0"/>
              <w:right w:val="single" w:color="000000"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宋体" w:asciiTheme="minorEastAsia" w:hAnsiTheme="minorEastAsia" w:eastAsiaTheme="minorEastAsia"/>
                <w:color w:val="000000"/>
                <w:kern w:val="0"/>
                <w:sz w:val="20"/>
                <w:szCs w:val="20"/>
              </w:rPr>
              <w:t>0</w:t>
            </w:r>
          </w:p>
        </w:tc>
      </w:tr>
      <w:tr>
        <w:tblPrEx>
          <w:tblLayout w:type="fixed"/>
          <w:tblCellMar>
            <w:top w:w="15" w:type="dxa"/>
            <w:left w:w="15" w:type="dxa"/>
            <w:bottom w:w="15" w:type="dxa"/>
            <w:right w:w="15"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第二十条第（九）项</w:t>
            </w:r>
          </w:p>
        </w:tc>
      </w:tr>
      <w:tr>
        <w:tblPrEx>
          <w:tblLayout w:type="fixed"/>
          <w:tblCellMar>
            <w:top w:w="15" w:type="dxa"/>
            <w:left w:w="15" w:type="dxa"/>
            <w:bottom w:w="15" w:type="dxa"/>
            <w:right w:w="15"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信息内容</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采购总金额</w:t>
            </w:r>
          </w:p>
        </w:tc>
      </w:tr>
      <w:tr>
        <w:tblPrEx>
          <w:tblLayout w:type="fixed"/>
          <w:tblCellMar>
            <w:top w:w="15" w:type="dxa"/>
            <w:left w:w="15" w:type="dxa"/>
            <w:bottom w:w="15" w:type="dxa"/>
            <w:right w:w="15"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政府集中采购</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asciiTheme="minorEastAsia" w:hAnsiTheme="minorEastAsia" w:eastAsiaTheme="minorEastAsia"/>
                <w:color w:val="000000"/>
                <w:kern w:val="0"/>
                <w:sz w:val="20"/>
                <w:szCs w:val="20"/>
              </w:rPr>
              <w:t>36</w:t>
            </w:r>
          </w:p>
        </w:tc>
        <w:tc>
          <w:tcPr>
            <w:tcW w:w="3146" w:type="dxa"/>
            <w:gridSpan w:val="2"/>
            <w:tcBorders>
              <w:top w:val="nil"/>
              <w:left w:val="nil"/>
              <w:bottom w:val="single" w:color="auto" w:sz="8" w:space="0"/>
              <w:right w:val="single" w:color="000000"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asciiTheme="minorEastAsia" w:hAnsiTheme="minorEastAsia" w:eastAsiaTheme="minorEastAsia"/>
                <w:color w:val="000000"/>
                <w:kern w:val="0"/>
                <w:sz w:val="20"/>
                <w:szCs w:val="20"/>
              </w:rPr>
              <w:t>165950.2</w:t>
            </w:r>
          </w:p>
        </w:tc>
      </w:tr>
    </w:tbl>
    <w:p>
      <w:pPr>
        <w:spacing w:line="560" w:lineRule="exact"/>
        <w:ind w:firstLine="640" w:firstLineChars="200"/>
        <w:rPr>
          <w:rFonts w:ascii="黑体" w:eastAsia="黑体"/>
          <w:sz w:val="32"/>
          <w:szCs w:val="32"/>
        </w:rPr>
      </w:pPr>
      <w:r>
        <w:rPr>
          <w:rFonts w:hint="eastAsia" w:ascii="黑体" w:eastAsia="黑体" w:cs="黑体"/>
          <w:sz w:val="32"/>
          <w:szCs w:val="32"/>
        </w:rPr>
        <w:t>三、收到和处理政府信息公开申请情况</w:t>
      </w:r>
    </w:p>
    <w:tbl>
      <w:tblPr>
        <w:tblStyle w:val="8"/>
        <w:tblW w:w="8884" w:type="dxa"/>
        <w:jc w:val="center"/>
        <w:tblInd w:w="0"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
      <w:tblGrid>
        <w:gridCol w:w="6458"/>
        <w:gridCol w:w="806"/>
        <w:gridCol w:w="1620"/>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Theme="minorEastAsia" w:hAnsiTheme="minorEastAsia" w:eastAsiaTheme="minorEastAsia"/>
                <w:snapToGrid w:val="0"/>
                <w:spacing w:val="-4"/>
                <w:sz w:val="20"/>
                <w:szCs w:val="20"/>
              </w:rPr>
            </w:pPr>
            <w:r>
              <w:rPr>
                <w:rFonts w:hint="eastAsia" w:cs="仿宋_GB2312" w:asciiTheme="minorEastAsia" w:hAnsiTheme="minorEastAsia" w:eastAsiaTheme="minorEastAsia"/>
                <w:b/>
                <w:bCs/>
                <w:snapToGrid w:val="0"/>
                <w:spacing w:val="-4"/>
                <w:sz w:val="20"/>
                <w:szCs w:val="20"/>
              </w:rPr>
              <w:t>统　计　指　标</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Theme="minorEastAsia" w:hAnsiTheme="minorEastAsia" w:eastAsiaTheme="minorEastAsia"/>
                <w:snapToGrid w:val="0"/>
                <w:spacing w:val="-4"/>
                <w:sz w:val="20"/>
                <w:szCs w:val="20"/>
              </w:rPr>
            </w:pPr>
            <w:r>
              <w:rPr>
                <w:rFonts w:hint="eastAsia" w:cs="仿宋_GB2312" w:asciiTheme="minorEastAsia" w:hAnsiTheme="minorEastAsia" w:eastAsiaTheme="minorEastAsia"/>
                <w:b/>
                <w:bCs/>
                <w:snapToGrid w:val="0"/>
                <w:spacing w:val="-4"/>
                <w:sz w:val="20"/>
                <w:szCs w:val="20"/>
              </w:rPr>
              <w:t>单位</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Theme="minorEastAsia" w:hAnsiTheme="minorEastAsia" w:eastAsiaTheme="minorEastAsia"/>
                <w:snapToGrid w:val="0"/>
                <w:spacing w:val="-4"/>
                <w:sz w:val="20"/>
                <w:szCs w:val="20"/>
              </w:rPr>
            </w:pPr>
            <w:r>
              <w:rPr>
                <w:rFonts w:hint="eastAsia" w:cs="仿宋_GB2312" w:asciiTheme="minorEastAsia" w:hAnsiTheme="minorEastAsia" w:eastAsiaTheme="minorEastAsia"/>
                <w:b/>
                <w:bCs/>
                <w:snapToGrid w:val="0"/>
                <w:spacing w:val="-4"/>
                <w:sz w:val="20"/>
                <w:szCs w:val="20"/>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Theme="minorEastAsia" w:hAnsiTheme="minorEastAsia" w:eastAsiaTheme="minorEastAsia"/>
                <w:snapToGrid w:val="0"/>
                <w:spacing w:val="-4"/>
                <w:sz w:val="20"/>
                <w:szCs w:val="20"/>
              </w:rPr>
            </w:pPr>
            <w:r>
              <w:rPr>
                <w:rFonts w:hint="eastAsia" w:cs="仿宋_GB2312" w:asciiTheme="minorEastAsia" w:hAnsiTheme="minorEastAsia" w:eastAsiaTheme="minorEastAsia"/>
                <w:snapToGrid w:val="0"/>
                <w:spacing w:val="-4"/>
                <w:sz w:val="20"/>
                <w:szCs w:val="20"/>
              </w:rPr>
              <w:t>　　（一）主动公开政府信息数</w:t>
            </w:r>
          </w:p>
          <w:p>
            <w:pPr>
              <w:widowControl/>
              <w:adjustRightInd w:val="0"/>
              <w:snapToGrid w:val="0"/>
              <w:spacing w:line="300" w:lineRule="exact"/>
              <w:jc w:val="left"/>
              <w:rPr>
                <w:rFonts w:asciiTheme="minorEastAsia" w:hAnsiTheme="minorEastAsia" w:eastAsiaTheme="minorEastAsia"/>
                <w:snapToGrid w:val="0"/>
                <w:spacing w:val="-4"/>
                <w:sz w:val="20"/>
                <w:szCs w:val="20"/>
              </w:rPr>
            </w:pPr>
            <w:r>
              <w:rPr>
                <w:rFonts w:hint="eastAsia" w:cs="仿宋_GB2312" w:asciiTheme="minorEastAsia" w:hAnsiTheme="minorEastAsia" w:eastAsiaTheme="minorEastAsia"/>
                <w:snapToGrid w:val="0"/>
                <w:spacing w:val="-4"/>
                <w:sz w:val="20"/>
                <w:szCs w:val="20"/>
              </w:rPr>
              <w:t>　　　　（不同渠道和方式公开相同信息计</w:t>
            </w:r>
            <w:r>
              <w:rPr>
                <w:rFonts w:cs="仿宋_GB2312" w:asciiTheme="minorEastAsia" w:hAnsiTheme="minorEastAsia" w:eastAsiaTheme="minorEastAsia"/>
                <w:snapToGrid w:val="0"/>
                <w:spacing w:val="-4"/>
                <w:sz w:val="20"/>
                <w:szCs w:val="20"/>
              </w:rPr>
              <w:t>1</w:t>
            </w:r>
            <w:r>
              <w:rPr>
                <w:rFonts w:hint="eastAsia" w:cs="仿宋_GB2312" w:asciiTheme="minorEastAsia" w:hAnsiTheme="minorEastAsia" w:eastAsiaTheme="minorEastAsia"/>
                <w:snapToGrid w:val="0"/>
                <w:spacing w:val="-4"/>
                <w:sz w:val="20"/>
                <w:szCs w:val="20"/>
              </w:rPr>
              <w:t>条）</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Theme="minorEastAsia" w:hAnsiTheme="minorEastAsia" w:eastAsiaTheme="minorEastAsia"/>
                <w:snapToGrid w:val="0"/>
                <w:spacing w:val="-4"/>
                <w:sz w:val="20"/>
                <w:szCs w:val="20"/>
              </w:rPr>
            </w:pPr>
            <w:r>
              <w:rPr>
                <w:rFonts w:hint="eastAsia" w:cs="仿宋_GB2312" w:asciiTheme="minorEastAsia" w:hAnsiTheme="minorEastAsia" w:eastAsiaTheme="minorEastAsia"/>
                <w:snapToGrid w:val="0"/>
                <w:spacing w:val="-4"/>
                <w:sz w:val="20"/>
                <w:szCs w:val="20"/>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cs="仿宋_GB2312" w:asciiTheme="minorEastAsia" w:hAnsiTheme="minorEastAsia" w:eastAsiaTheme="minorEastAsia"/>
                <w:snapToGrid w:val="0"/>
                <w:spacing w:val="-4"/>
                <w:sz w:val="20"/>
                <w:szCs w:val="20"/>
              </w:rPr>
            </w:pPr>
            <w:r>
              <w:rPr>
                <w:rFonts w:cs="仿宋_GB2312" w:asciiTheme="minorEastAsia" w:hAnsiTheme="minorEastAsia" w:eastAsiaTheme="minorEastAsia"/>
                <w:snapToGrid w:val="0"/>
                <w:spacing w:val="-4"/>
                <w:sz w:val="20"/>
                <w:szCs w:val="20"/>
              </w:rPr>
              <w:t>970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Theme="minorEastAsia" w:hAnsiTheme="minorEastAsia" w:eastAsiaTheme="minorEastAsia"/>
                <w:snapToGrid w:val="0"/>
                <w:spacing w:val="-4"/>
                <w:sz w:val="20"/>
                <w:szCs w:val="20"/>
              </w:rPr>
            </w:pPr>
            <w:r>
              <w:rPr>
                <w:rFonts w:hint="eastAsia" w:cs="仿宋_GB2312" w:asciiTheme="minorEastAsia" w:hAnsiTheme="minorEastAsia" w:eastAsiaTheme="minorEastAsia"/>
                <w:snapToGrid w:val="0"/>
                <w:spacing w:val="-4"/>
                <w:sz w:val="20"/>
                <w:szCs w:val="20"/>
              </w:rPr>
              <w:t>　　（二）通过不同渠道和方式公开政府信息的情况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Theme="minorEastAsia" w:hAnsiTheme="minorEastAsia" w:eastAsiaTheme="minorEastAsia"/>
                <w:snapToGrid w:val="0"/>
                <w:spacing w:val="-4"/>
                <w:sz w:val="20"/>
                <w:szCs w:val="20"/>
              </w:rPr>
            </w:pPr>
            <w:r>
              <w:rPr>
                <w:rFonts w:cs="仿宋_GB2312" w:asciiTheme="minorEastAsia" w:hAnsiTheme="minorEastAsia" w:eastAsiaTheme="minorEastAsia"/>
                <w:snapToGrid w:val="0"/>
                <w:spacing w:val="-4"/>
                <w:sz w:val="20"/>
                <w:szCs w:val="20"/>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Theme="minorEastAsia" w:hAnsiTheme="minorEastAsia" w:eastAsiaTheme="minorEastAsia"/>
                <w:snapToGrid w:val="0"/>
                <w:spacing w:val="-4"/>
                <w:sz w:val="20"/>
                <w:szCs w:val="20"/>
              </w:rPr>
            </w:pPr>
            <w:r>
              <w:rPr>
                <w:rFonts w:cs="仿宋_GB2312" w:asciiTheme="minorEastAsia" w:hAnsiTheme="minorEastAsia" w:eastAsiaTheme="minorEastAsia"/>
                <w:snapToGrid w:val="0"/>
                <w:spacing w:val="-4"/>
                <w:sz w:val="20"/>
                <w:szCs w:val="20"/>
              </w:rPr>
              <w:t>——</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Theme="minorEastAsia" w:hAnsiTheme="minorEastAsia" w:eastAsiaTheme="minorEastAsia"/>
                <w:snapToGrid w:val="0"/>
                <w:spacing w:val="-4"/>
                <w:sz w:val="20"/>
                <w:szCs w:val="20"/>
              </w:rPr>
            </w:pPr>
            <w:r>
              <w:rPr>
                <w:rFonts w:hint="eastAsia" w:cs="仿宋_GB2312" w:asciiTheme="minorEastAsia" w:hAnsiTheme="minorEastAsia" w:eastAsiaTheme="minorEastAsia"/>
                <w:snapToGrid w:val="0"/>
                <w:spacing w:val="-4"/>
                <w:sz w:val="20"/>
                <w:szCs w:val="20"/>
              </w:rPr>
              <w:t>　　　　　</w:t>
            </w:r>
            <w:r>
              <w:rPr>
                <w:rFonts w:cs="仿宋_GB2312" w:asciiTheme="minorEastAsia" w:hAnsiTheme="minorEastAsia" w:eastAsiaTheme="minorEastAsia"/>
                <w:snapToGrid w:val="0"/>
                <w:spacing w:val="-4"/>
                <w:sz w:val="20"/>
                <w:szCs w:val="20"/>
              </w:rPr>
              <w:t>1.</w:t>
            </w:r>
            <w:r>
              <w:rPr>
                <w:rFonts w:hint="eastAsia" w:cs="仿宋_GB2312" w:asciiTheme="minorEastAsia" w:hAnsiTheme="minorEastAsia" w:eastAsiaTheme="minorEastAsia"/>
                <w:snapToGrid w:val="0"/>
                <w:spacing w:val="-4"/>
                <w:sz w:val="20"/>
                <w:szCs w:val="20"/>
              </w:rPr>
              <w:t>政府公报公开政府信息数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Theme="minorEastAsia" w:hAnsiTheme="minorEastAsia" w:eastAsiaTheme="minorEastAsia"/>
                <w:snapToGrid w:val="0"/>
                <w:spacing w:val="-4"/>
                <w:sz w:val="20"/>
                <w:szCs w:val="20"/>
              </w:rPr>
            </w:pPr>
            <w:r>
              <w:rPr>
                <w:rFonts w:hint="eastAsia" w:cs="仿宋_GB2312" w:asciiTheme="minorEastAsia" w:hAnsiTheme="minorEastAsia" w:eastAsiaTheme="minorEastAsia"/>
                <w:snapToGrid w:val="0"/>
                <w:spacing w:val="-4"/>
                <w:sz w:val="20"/>
                <w:szCs w:val="20"/>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cs="仿宋_GB2312" w:asciiTheme="minorEastAsia" w:hAnsiTheme="minorEastAsia" w:eastAsiaTheme="minorEastAsia"/>
                <w:snapToGrid w:val="0"/>
                <w:spacing w:val="-4"/>
                <w:sz w:val="20"/>
                <w:szCs w:val="20"/>
              </w:rPr>
            </w:pPr>
            <w:r>
              <w:rPr>
                <w:rFonts w:hint="eastAsia" w:cs="仿宋_GB2312" w:asciiTheme="minorEastAsia" w:hAnsiTheme="minorEastAsia" w:eastAsiaTheme="minorEastAsia"/>
                <w:snapToGrid w:val="0"/>
                <w:spacing w:val="-4"/>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Theme="minorEastAsia" w:hAnsiTheme="minorEastAsia" w:eastAsiaTheme="minorEastAsia"/>
                <w:snapToGrid w:val="0"/>
                <w:spacing w:val="-4"/>
                <w:sz w:val="20"/>
                <w:szCs w:val="20"/>
              </w:rPr>
            </w:pPr>
            <w:r>
              <w:rPr>
                <w:rFonts w:hint="eastAsia" w:cs="仿宋_GB2312" w:asciiTheme="minorEastAsia" w:hAnsiTheme="minorEastAsia" w:eastAsiaTheme="minorEastAsia"/>
                <w:snapToGrid w:val="0"/>
                <w:spacing w:val="-4"/>
                <w:sz w:val="20"/>
                <w:szCs w:val="20"/>
              </w:rPr>
              <w:t>　　　　　2</w:t>
            </w:r>
            <w:r>
              <w:rPr>
                <w:rFonts w:cs="仿宋_GB2312" w:asciiTheme="minorEastAsia" w:hAnsiTheme="minorEastAsia" w:eastAsiaTheme="minorEastAsia"/>
                <w:snapToGrid w:val="0"/>
                <w:spacing w:val="-4"/>
                <w:sz w:val="20"/>
                <w:szCs w:val="20"/>
              </w:rPr>
              <w:t>.</w:t>
            </w:r>
            <w:r>
              <w:rPr>
                <w:rFonts w:hint="eastAsia" w:cs="仿宋_GB2312" w:asciiTheme="minorEastAsia" w:hAnsiTheme="minorEastAsia" w:eastAsiaTheme="minorEastAsia"/>
                <w:snapToGrid w:val="0"/>
                <w:spacing w:val="-4"/>
                <w:sz w:val="20"/>
                <w:szCs w:val="20"/>
              </w:rPr>
              <w:t>政府网站公开政府信息数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Theme="minorEastAsia" w:hAnsiTheme="minorEastAsia" w:eastAsiaTheme="minorEastAsia"/>
                <w:snapToGrid w:val="0"/>
                <w:spacing w:val="-4"/>
                <w:sz w:val="20"/>
                <w:szCs w:val="20"/>
              </w:rPr>
            </w:pPr>
            <w:r>
              <w:rPr>
                <w:rFonts w:hint="eastAsia" w:cs="仿宋_GB2312" w:asciiTheme="minorEastAsia" w:hAnsiTheme="minorEastAsia" w:eastAsiaTheme="minorEastAsia"/>
                <w:snapToGrid w:val="0"/>
                <w:spacing w:val="-4"/>
                <w:sz w:val="20"/>
                <w:szCs w:val="20"/>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cs="仿宋_GB2312" w:asciiTheme="minorEastAsia" w:hAnsiTheme="minorEastAsia" w:eastAsiaTheme="minorEastAsia"/>
                <w:snapToGrid w:val="0"/>
                <w:spacing w:val="-4"/>
                <w:sz w:val="20"/>
                <w:szCs w:val="20"/>
              </w:rPr>
            </w:pPr>
            <w:r>
              <w:rPr>
                <w:rFonts w:cs="仿宋_GB2312" w:asciiTheme="minorEastAsia" w:hAnsiTheme="minorEastAsia" w:eastAsiaTheme="minorEastAsia"/>
                <w:snapToGrid w:val="0"/>
                <w:spacing w:val="-4"/>
                <w:sz w:val="20"/>
                <w:szCs w:val="20"/>
              </w:rPr>
              <w:t>298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Theme="minorEastAsia" w:hAnsiTheme="minorEastAsia" w:eastAsiaTheme="minorEastAsia"/>
                <w:snapToGrid w:val="0"/>
                <w:spacing w:val="-4"/>
                <w:sz w:val="20"/>
                <w:szCs w:val="20"/>
              </w:rPr>
            </w:pPr>
            <w:r>
              <w:rPr>
                <w:rFonts w:hint="eastAsia" w:cs="仿宋_GB2312" w:asciiTheme="minorEastAsia" w:hAnsiTheme="minorEastAsia" w:eastAsiaTheme="minorEastAsia"/>
                <w:snapToGrid w:val="0"/>
                <w:spacing w:val="-4"/>
                <w:sz w:val="20"/>
                <w:szCs w:val="20"/>
              </w:rPr>
              <w:t>　　　　　3</w:t>
            </w:r>
            <w:r>
              <w:rPr>
                <w:rFonts w:cs="仿宋_GB2312" w:asciiTheme="minorEastAsia" w:hAnsiTheme="minorEastAsia" w:eastAsiaTheme="minorEastAsia"/>
                <w:snapToGrid w:val="0"/>
                <w:spacing w:val="-4"/>
                <w:sz w:val="20"/>
                <w:szCs w:val="20"/>
              </w:rPr>
              <w:t>.</w:t>
            </w:r>
            <w:r>
              <w:rPr>
                <w:rFonts w:hint="eastAsia" w:cs="仿宋_GB2312" w:asciiTheme="minorEastAsia" w:hAnsiTheme="minorEastAsia" w:eastAsiaTheme="minorEastAsia"/>
                <w:snapToGrid w:val="0"/>
                <w:spacing w:val="-4"/>
                <w:sz w:val="20"/>
                <w:szCs w:val="20"/>
              </w:rPr>
              <w:t>政务微博公开政府信息数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Theme="minorEastAsia" w:hAnsiTheme="minorEastAsia" w:eastAsiaTheme="minorEastAsia"/>
                <w:snapToGrid w:val="0"/>
                <w:spacing w:val="-4"/>
                <w:sz w:val="20"/>
                <w:szCs w:val="20"/>
              </w:rPr>
            </w:pPr>
            <w:r>
              <w:rPr>
                <w:rFonts w:hint="eastAsia" w:cs="仿宋_GB2312" w:asciiTheme="minorEastAsia" w:hAnsiTheme="minorEastAsia" w:eastAsiaTheme="minorEastAsia"/>
                <w:snapToGrid w:val="0"/>
                <w:spacing w:val="-4"/>
                <w:sz w:val="20"/>
                <w:szCs w:val="20"/>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cs="仿宋_GB2312" w:asciiTheme="minorEastAsia" w:hAnsiTheme="minorEastAsia" w:eastAsiaTheme="minorEastAsia"/>
                <w:snapToGrid w:val="0"/>
                <w:spacing w:val="-4"/>
                <w:sz w:val="20"/>
                <w:szCs w:val="20"/>
              </w:rPr>
            </w:pPr>
            <w:r>
              <w:rPr>
                <w:rFonts w:cs="仿宋_GB2312" w:asciiTheme="minorEastAsia" w:hAnsiTheme="minorEastAsia" w:eastAsiaTheme="minorEastAsia"/>
                <w:snapToGrid w:val="0"/>
                <w:spacing w:val="-4"/>
                <w:sz w:val="20"/>
                <w:szCs w:val="20"/>
              </w:rPr>
              <w:t>293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Theme="minorEastAsia" w:hAnsiTheme="minorEastAsia" w:eastAsiaTheme="minorEastAsia"/>
                <w:snapToGrid w:val="0"/>
                <w:spacing w:val="-4"/>
                <w:sz w:val="20"/>
                <w:szCs w:val="20"/>
              </w:rPr>
            </w:pPr>
            <w:r>
              <w:rPr>
                <w:rFonts w:hint="eastAsia" w:cs="仿宋_GB2312" w:asciiTheme="minorEastAsia" w:hAnsiTheme="minorEastAsia" w:eastAsiaTheme="minorEastAsia"/>
                <w:snapToGrid w:val="0"/>
                <w:spacing w:val="-4"/>
                <w:sz w:val="20"/>
                <w:szCs w:val="20"/>
              </w:rPr>
              <w:t>　　　　　4</w:t>
            </w:r>
            <w:r>
              <w:rPr>
                <w:rFonts w:cs="仿宋_GB2312" w:asciiTheme="minorEastAsia" w:hAnsiTheme="minorEastAsia" w:eastAsiaTheme="minorEastAsia"/>
                <w:snapToGrid w:val="0"/>
                <w:spacing w:val="-4"/>
                <w:sz w:val="20"/>
                <w:szCs w:val="20"/>
              </w:rPr>
              <w:t>.</w:t>
            </w:r>
            <w:r>
              <w:rPr>
                <w:rFonts w:hint="eastAsia" w:cs="仿宋_GB2312" w:asciiTheme="minorEastAsia" w:hAnsiTheme="minorEastAsia" w:eastAsiaTheme="minorEastAsia"/>
                <w:snapToGrid w:val="0"/>
                <w:spacing w:val="-4"/>
                <w:sz w:val="20"/>
                <w:szCs w:val="20"/>
              </w:rPr>
              <w:t>政务微信公开政府信息数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Theme="minorEastAsia" w:hAnsiTheme="minorEastAsia" w:eastAsiaTheme="minorEastAsia"/>
                <w:snapToGrid w:val="0"/>
                <w:spacing w:val="-4"/>
                <w:sz w:val="20"/>
                <w:szCs w:val="20"/>
              </w:rPr>
            </w:pPr>
            <w:r>
              <w:rPr>
                <w:rFonts w:hint="eastAsia" w:cs="仿宋_GB2312" w:asciiTheme="minorEastAsia" w:hAnsiTheme="minorEastAsia" w:eastAsiaTheme="minorEastAsia"/>
                <w:snapToGrid w:val="0"/>
                <w:spacing w:val="-4"/>
                <w:sz w:val="20"/>
                <w:szCs w:val="20"/>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cs="仿宋_GB2312" w:asciiTheme="minorEastAsia" w:hAnsiTheme="minorEastAsia" w:eastAsiaTheme="minorEastAsia"/>
                <w:snapToGrid w:val="0"/>
                <w:spacing w:val="-4"/>
                <w:sz w:val="20"/>
                <w:szCs w:val="20"/>
              </w:rPr>
            </w:pPr>
            <w:r>
              <w:rPr>
                <w:rFonts w:cs="仿宋_GB2312" w:asciiTheme="minorEastAsia" w:hAnsiTheme="minorEastAsia" w:eastAsiaTheme="minorEastAsia"/>
                <w:snapToGrid w:val="0"/>
                <w:spacing w:val="-4"/>
                <w:sz w:val="20"/>
                <w:szCs w:val="20"/>
              </w:rPr>
              <w:t>137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Theme="minorEastAsia" w:hAnsiTheme="minorEastAsia" w:eastAsiaTheme="minorEastAsia"/>
                <w:snapToGrid w:val="0"/>
                <w:spacing w:val="-4"/>
                <w:sz w:val="20"/>
                <w:szCs w:val="20"/>
              </w:rPr>
            </w:pPr>
            <w:r>
              <w:rPr>
                <w:rFonts w:hint="eastAsia" w:cs="仿宋_GB2312" w:asciiTheme="minorEastAsia" w:hAnsiTheme="minorEastAsia" w:eastAsiaTheme="minorEastAsia"/>
                <w:snapToGrid w:val="0"/>
                <w:spacing w:val="-4"/>
                <w:sz w:val="20"/>
                <w:szCs w:val="20"/>
              </w:rPr>
              <w:t>　　（三）回应公众关注热点或重大舆情数</w:t>
            </w:r>
          </w:p>
          <w:p>
            <w:pPr>
              <w:widowControl/>
              <w:adjustRightInd w:val="0"/>
              <w:snapToGrid w:val="0"/>
              <w:spacing w:line="300" w:lineRule="exact"/>
              <w:jc w:val="left"/>
              <w:rPr>
                <w:rFonts w:asciiTheme="minorEastAsia" w:hAnsiTheme="minorEastAsia" w:eastAsiaTheme="minorEastAsia"/>
                <w:snapToGrid w:val="0"/>
                <w:spacing w:val="-4"/>
                <w:sz w:val="20"/>
                <w:szCs w:val="20"/>
              </w:rPr>
            </w:pPr>
            <w:r>
              <w:rPr>
                <w:rFonts w:hint="eastAsia" w:cs="仿宋_GB2312" w:asciiTheme="minorEastAsia" w:hAnsiTheme="minorEastAsia" w:eastAsiaTheme="minorEastAsia"/>
                <w:snapToGrid w:val="0"/>
                <w:spacing w:val="-4"/>
                <w:sz w:val="20"/>
                <w:szCs w:val="20"/>
              </w:rPr>
              <w:t>　　　　（不同方式回应同一热点或舆情计</w:t>
            </w:r>
            <w:r>
              <w:rPr>
                <w:rFonts w:cs="仿宋_GB2312" w:asciiTheme="minorEastAsia" w:hAnsiTheme="minorEastAsia" w:eastAsiaTheme="minorEastAsia"/>
                <w:snapToGrid w:val="0"/>
                <w:spacing w:val="-4"/>
                <w:sz w:val="20"/>
                <w:szCs w:val="20"/>
              </w:rPr>
              <w:t>1</w:t>
            </w:r>
            <w:r>
              <w:rPr>
                <w:rFonts w:hint="eastAsia" w:cs="仿宋_GB2312" w:asciiTheme="minorEastAsia" w:hAnsiTheme="minorEastAsia" w:eastAsiaTheme="minorEastAsia"/>
                <w:snapToGrid w:val="0"/>
                <w:spacing w:val="-4"/>
                <w:sz w:val="20"/>
                <w:szCs w:val="20"/>
              </w:rPr>
              <w:t>次）</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Theme="minorEastAsia" w:hAnsiTheme="minorEastAsia" w:eastAsiaTheme="minorEastAsia"/>
                <w:snapToGrid w:val="0"/>
                <w:spacing w:val="-4"/>
                <w:sz w:val="20"/>
                <w:szCs w:val="20"/>
              </w:rPr>
            </w:pPr>
            <w:r>
              <w:rPr>
                <w:rFonts w:hint="eastAsia" w:cs="仿宋_GB2312" w:asciiTheme="minorEastAsia" w:hAnsiTheme="minorEastAsia" w:eastAsiaTheme="minorEastAsia"/>
                <w:snapToGrid w:val="0"/>
                <w:spacing w:val="-4"/>
                <w:sz w:val="20"/>
                <w:szCs w:val="20"/>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Theme="minorEastAsia" w:hAnsiTheme="minorEastAsia" w:eastAsiaTheme="minorEastAsia"/>
                <w:snapToGrid w:val="0"/>
                <w:spacing w:val="-4"/>
                <w:sz w:val="20"/>
                <w:szCs w:val="20"/>
              </w:rPr>
            </w:pPr>
            <w:r>
              <w:rPr>
                <w:rFonts w:hint="eastAsia" w:cs="仿宋_GB2312" w:asciiTheme="minorEastAsia" w:hAnsiTheme="minorEastAsia" w:eastAsiaTheme="minorEastAsia"/>
                <w:snapToGrid w:val="0"/>
                <w:spacing w:val="-4"/>
                <w:sz w:val="20"/>
                <w:szCs w:val="20"/>
              </w:rPr>
              <w:t>65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Theme="minorEastAsia" w:hAnsiTheme="minorEastAsia" w:eastAsiaTheme="minorEastAsia"/>
                <w:snapToGrid w:val="0"/>
                <w:spacing w:val="-4"/>
                <w:sz w:val="20"/>
                <w:szCs w:val="20"/>
              </w:rPr>
            </w:pPr>
            <w:r>
              <w:rPr>
                <w:rFonts w:hint="eastAsia" w:cs="仿宋_GB2312" w:asciiTheme="minorEastAsia" w:hAnsiTheme="minorEastAsia" w:eastAsiaTheme="minorEastAsia"/>
                <w:snapToGrid w:val="0"/>
                <w:spacing w:val="-4"/>
                <w:sz w:val="20"/>
                <w:szCs w:val="20"/>
              </w:rPr>
              <w:t>　　（四）通过不同渠道和方式回应解读的情况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Theme="minorEastAsia" w:hAnsiTheme="minorEastAsia" w:eastAsiaTheme="minorEastAsia"/>
                <w:snapToGrid w:val="0"/>
                <w:spacing w:val="-4"/>
                <w:sz w:val="20"/>
                <w:szCs w:val="20"/>
              </w:rPr>
            </w:pPr>
            <w:r>
              <w:rPr>
                <w:rFonts w:cs="仿宋_GB2312" w:asciiTheme="minorEastAsia" w:hAnsiTheme="minorEastAsia" w:eastAsiaTheme="minorEastAsia"/>
                <w:snapToGrid w:val="0"/>
                <w:spacing w:val="-4"/>
                <w:sz w:val="20"/>
                <w:szCs w:val="20"/>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Theme="minorEastAsia" w:hAnsiTheme="minorEastAsia" w:eastAsiaTheme="minorEastAsia"/>
                <w:snapToGrid w:val="0"/>
                <w:spacing w:val="-4"/>
                <w:sz w:val="20"/>
                <w:szCs w:val="20"/>
              </w:rPr>
            </w:pPr>
            <w:r>
              <w:rPr>
                <w:rFonts w:cs="仿宋_GB2312" w:asciiTheme="minorEastAsia" w:hAnsiTheme="minorEastAsia" w:eastAsiaTheme="minorEastAsia"/>
                <w:snapToGrid w:val="0"/>
                <w:spacing w:val="-4"/>
                <w:sz w:val="20"/>
                <w:szCs w:val="20"/>
              </w:rPr>
              <w:t>——</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Theme="minorEastAsia" w:hAnsiTheme="minorEastAsia" w:eastAsiaTheme="minorEastAsia"/>
                <w:snapToGrid w:val="0"/>
                <w:spacing w:val="-4"/>
                <w:sz w:val="20"/>
                <w:szCs w:val="20"/>
              </w:rPr>
            </w:pPr>
            <w:r>
              <w:rPr>
                <w:rFonts w:hint="eastAsia" w:cs="仿宋_GB2312" w:asciiTheme="minorEastAsia" w:hAnsiTheme="minorEastAsia" w:eastAsiaTheme="minorEastAsia"/>
                <w:snapToGrid w:val="0"/>
                <w:spacing w:val="-4"/>
                <w:sz w:val="20"/>
                <w:szCs w:val="20"/>
              </w:rPr>
              <w:t>　　　　　</w:t>
            </w:r>
            <w:r>
              <w:rPr>
                <w:rFonts w:cs="仿宋_GB2312" w:asciiTheme="minorEastAsia" w:hAnsiTheme="minorEastAsia" w:eastAsiaTheme="minorEastAsia"/>
                <w:snapToGrid w:val="0"/>
                <w:spacing w:val="-4"/>
                <w:sz w:val="20"/>
                <w:szCs w:val="20"/>
              </w:rPr>
              <w:t>1.</w:t>
            </w:r>
            <w:r>
              <w:rPr>
                <w:rFonts w:hint="eastAsia" w:cs="仿宋_GB2312" w:asciiTheme="minorEastAsia" w:hAnsiTheme="minorEastAsia" w:eastAsiaTheme="minorEastAsia"/>
                <w:snapToGrid w:val="0"/>
                <w:spacing w:val="-4"/>
                <w:sz w:val="20"/>
                <w:szCs w:val="20"/>
              </w:rPr>
              <w:t>参加或举办新闻发布会总次数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Theme="minorEastAsia" w:hAnsiTheme="minorEastAsia" w:eastAsiaTheme="minorEastAsia"/>
                <w:snapToGrid w:val="0"/>
                <w:spacing w:val="-4"/>
                <w:sz w:val="20"/>
                <w:szCs w:val="20"/>
              </w:rPr>
            </w:pPr>
            <w:r>
              <w:rPr>
                <w:rFonts w:hint="eastAsia" w:cs="仿宋_GB2312" w:asciiTheme="minorEastAsia" w:hAnsiTheme="minorEastAsia" w:eastAsiaTheme="minorEastAsia"/>
                <w:snapToGrid w:val="0"/>
                <w:spacing w:val="-4"/>
                <w:sz w:val="20"/>
                <w:szCs w:val="20"/>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cs="仿宋_GB2312" w:asciiTheme="minorEastAsia" w:hAnsiTheme="minorEastAsia" w:eastAsiaTheme="minorEastAsia"/>
                <w:snapToGrid w:val="0"/>
                <w:spacing w:val="-4"/>
                <w:sz w:val="20"/>
                <w:szCs w:val="20"/>
              </w:rPr>
            </w:pPr>
            <w:r>
              <w:rPr>
                <w:rFonts w:cs="仿宋_GB2312" w:asciiTheme="minorEastAsia" w:hAnsiTheme="minorEastAsia" w:eastAsiaTheme="minorEastAsia"/>
                <w:snapToGrid w:val="0"/>
                <w:spacing w:val="-4"/>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cs="仿宋_GB2312" w:asciiTheme="minorEastAsia" w:hAnsiTheme="minorEastAsia" w:eastAsiaTheme="minorEastAsia"/>
                <w:snapToGrid w:val="0"/>
                <w:spacing w:val="-4"/>
                <w:sz w:val="20"/>
                <w:szCs w:val="20"/>
              </w:rPr>
            </w:pPr>
            <w:r>
              <w:rPr>
                <w:rFonts w:hint="eastAsia" w:cs="仿宋_GB2312" w:asciiTheme="minorEastAsia" w:hAnsiTheme="minorEastAsia" w:eastAsiaTheme="minorEastAsia"/>
                <w:snapToGrid w:val="0"/>
                <w:spacing w:val="-4"/>
                <w:sz w:val="20"/>
                <w:szCs w:val="20"/>
              </w:rPr>
              <w:t>其中：主要负责同志参加新闻发布会次数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cs="仿宋_GB2312" w:asciiTheme="minorEastAsia" w:hAnsiTheme="minorEastAsia" w:eastAsiaTheme="minorEastAsia"/>
                <w:snapToGrid w:val="0"/>
                <w:spacing w:val="-4"/>
                <w:sz w:val="20"/>
                <w:szCs w:val="20"/>
              </w:rPr>
            </w:pPr>
            <w:r>
              <w:rPr>
                <w:rFonts w:hint="eastAsia" w:cs="仿宋_GB2312" w:asciiTheme="minorEastAsia" w:hAnsiTheme="minorEastAsia" w:eastAsiaTheme="minorEastAsia"/>
                <w:snapToGrid w:val="0"/>
                <w:spacing w:val="-4"/>
                <w:sz w:val="20"/>
                <w:szCs w:val="20"/>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cs="仿宋_GB2312" w:asciiTheme="minorEastAsia" w:hAnsiTheme="minorEastAsia" w:eastAsiaTheme="minorEastAsia"/>
                <w:snapToGrid w:val="0"/>
                <w:spacing w:val="-4"/>
                <w:sz w:val="20"/>
                <w:szCs w:val="20"/>
              </w:rPr>
            </w:pPr>
            <w:r>
              <w:rPr>
                <w:rFonts w:hint="eastAsia" w:cs="仿宋_GB2312" w:asciiTheme="minorEastAsia" w:hAnsiTheme="minorEastAsia" w:eastAsiaTheme="minorEastAsia"/>
                <w:snapToGrid w:val="0"/>
                <w:spacing w:val="-4"/>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Theme="minorEastAsia" w:hAnsiTheme="minorEastAsia" w:eastAsiaTheme="minorEastAsia"/>
                <w:snapToGrid w:val="0"/>
                <w:spacing w:val="-4"/>
                <w:sz w:val="20"/>
                <w:szCs w:val="20"/>
              </w:rPr>
            </w:pPr>
            <w:r>
              <w:rPr>
                <w:rFonts w:hint="eastAsia" w:cs="仿宋_GB2312" w:asciiTheme="minorEastAsia" w:hAnsiTheme="minorEastAsia" w:eastAsiaTheme="minorEastAsia"/>
                <w:snapToGrid w:val="0"/>
                <w:spacing w:val="-4"/>
                <w:sz w:val="20"/>
                <w:szCs w:val="20"/>
              </w:rPr>
              <w:t>　　　　　</w:t>
            </w:r>
            <w:r>
              <w:rPr>
                <w:rFonts w:cs="仿宋_GB2312" w:asciiTheme="minorEastAsia" w:hAnsiTheme="minorEastAsia" w:eastAsiaTheme="minorEastAsia"/>
                <w:snapToGrid w:val="0"/>
                <w:spacing w:val="-4"/>
                <w:sz w:val="20"/>
                <w:szCs w:val="20"/>
              </w:rPr>
              <w:t>2.</w:t>
            </w:r>
            <w:r>
              <w:rPr>
                <w:rFonts w:hint="eastAsia" w:cs="仿宋_GB2312" w:asciiTheme="minorEastAsia" w:hAnsiTheme="minorEastAsia" w:eastAsiaTheme="minorEastAsia"/>
                <w:snapToGrid w:val="0"/>
                <w:spacing w:val="-4"/>
                <w:sz w:val="20"/>
                <w:szCs w:val="20"/>
              </w:rPr>
              <w:t>政府网站在线访谈次数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Theme="minorEastAsia" w:hAnsiTheme="minorEastAsia" w:eastAsiaTheme="minorEastAsia"/>
                <w:snapToGrid w:val="0"/>
                <w:spacing w:val="-4"/>
                <w:sz w:val="20"/>
                <w:szCs w:val="20"/>
              </w:rPr>
            </w:pPr>
            <w:r>
              <w:rPr>
                <w:rFonts w:hint="eastAsia" w:cs="仿宋_GB2312" w:asciiTheme="minorEastAsia" w:hAnsiTheme="minorEastAsia" w:eastAsiaTheme="minorEastAsia"/>
                <w:snapToGrid w:val="0"/>
                <w:spacing w:val="-4"/>
                <w:sz w:val="20"/>
                <w:szCs w:val="20"/>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cs="仿宋_GB2312" w:asciiTheme="minorEastAsia" w:hAnsiTheme="minorEastAsia" w:eastAsiaTheme="minorEastAsia"/>
                <w:snapToGrid w:val="0"/>
                <w:spacing w:val="-4"/>
                <w:sz w:val="20"/>
                <w:szCs w:val="20"/>
              </w:rPr>
            </w:pPr>
            <w:r>
              <w:rPr>
                <w:rFonts w:cs="仿宋_GB2312" w:asciiTheme="minorEastAsia" w:hAnsiTheme="minorEastAsia" w:eastAsiaTheme="minorEastAsia"/>
                <w:snapToGrid w:val="0"/>
                <w:spacing w:val="-4"/>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cs="仿宋_GB2312" w:asciiTheme="minorEastAsia" w:hAnsiTheme="minorEastAsia" w:eastAsiaTheme="minorEastAsia"/>
                <w:snapToGrid w:val="0"/>
                <w:spacing w:val="-4"/>
                <w:sz w:val="20"/>
                <w:szCs w:val="20"/>
              </w:rPr>
            </w:pPr>
            <w:r>
              <w:rPr>
                <w:rFonts w:hint="eastAsia" w:cs="仿宋_GB2312" w:asciiTheme="minorEastAsia" w:hAnsiTheme="minorEastAsia" w:eastAsiaTheme="minorEastAsia"/>
                <w:snapToGrid w:val="0"/>
                <w:spacing w:val="-4"/>
                <w:sz w:val="20"/>
                <w:szCs w:val="20"/>
              </w:rPr>
              <w:t>其中：主要负责同志参加政府网站在线访谈次数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Theme="minorEastAsia" w:hAnsiTheme="minorEastAsia" w:eastAsiaTheme="minorEastAsia"/>
                <w:snapToGrid w:val="0"/>
                <w:spacing w:val="-4"/>
                <w:sz w:val="20"/>
                <w:szCs w:val="20"/>
              </w:rPr>
            </w:pPr>
            <w:r>
              <w:rPr>
                <w:rFonts w:hint="eastAsia" w:cs="仿宋_GB2312" w:asciiTheme="minorEastAsia" w:hAnsiTheme="minorEastAsia" w:eastAsiaTheme="minorEastAsia"/>
                <w:snapToGrid w:val="0"/>
                <w:spacing w:val="-4"/>
                <w:sz w:val="20"/>
                <w:szCs w:val="20"/>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cs="仿宋_GB2312" w:asciiTheme="minorEastAsia" w:hAnsiTheme="minorEastAsia" w:eastAsiaTheme="minorEastAsia"/>
                <w:snapToGrid w:val="0"/>
                <w:spacing w:val="-4"/>
                <w:sz w:val="20"/>
                <w:szCs w:val="20"/>
              </w:rPr>
            </w:pPr>
            <w:r>
              <w:rPr>
                <w:rFonts w:cs="仿宋_GB2312" w:asciiTheme="minorEastAsia" w:hAnsiTheme="minorEastAsia" w:eastAsiaTheme="minorEastAsia"/>
                <w:snapToGrid w:val="0"/>
                <w:spacing w:val="-4"/>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Theme="minorEastAsia" w:hAnsiTheme="minorEastAsia" w:eastAsiaTheme="minorEastAsia"/>
                <w:snapToGrid w:val="0"/>
                <w:spacing w:val="-4"/>
                <w:sz w:val="20"/>
                <w:szCs w:val="20"/>
              </w:rPr>
            </w:pPr>
            <w:r>
              <w:rPr>
                <w:rFonts w:hint="eastAsia" w:cs="仿宋_GB2312" w:asciiTheme="minorEastAsia" w:hAnsiTheme="minorEastAsia" w:eastAsiaTheme="minorEastAsia"/>
                <w:snapToGrid w:val="0"/>
                <w:spacing w:val="-4"/>
                <w:sz w:val="20"/>
                <w:szCs w:val="20"/>
              </w:rPr>
              <w:t>　　　　　</w:t>
            </w:r>
            <w:r>
              <w:rPr>
                <w:rFonts w:cs="仿宋_GB2312" w:asciiTheme="minorEastAsia" w:hAnsiTheme="minorEastAsia" w:eastAsiaTheme="minorEastAsia"/>
                <w:snapToGrid w:val="0"/>
                <w:spacing w:val="-4"/>
                <w:sz w:val="20"/>
                <w:szCs w:val="20"/>
              </w:rPr>
              <w:t>3.</w:t>
            </w:r>
            <w:r>
              <w:rPr>
                <w:rFonts w:hint="eastAsia" w:cs="仿宋_GB2312" w:asciiTheme="minorEastAsia" w:hAnsiTheme="minorEastAsia" w:eastAsiaTheme="minorEastAsia"/>
                <w:snapToGrid w:val="0"/>
                <w:spacing w:val="-4"/>
                <w:sz w:val="20"/>
                <w:szCs w:val="20"/>
              </w:rPr>
              <w:t>政策解读稿件发布数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Theme="minorEastAsia" w:hAnsiTheme="minorEastAsia" w:eastAsiaTheme="minorEastAsia"/>
                <w:snapToGrid w:val="0"/>
                <w:spacing w:val="-4"/>
                <w:sz w:val="20"/>
                <w:szCs w:val="20"/>
              </w:rPr>
            </w:pPr>
            <w:r>
              <w:rPr>
                <w:rFonts w:hint="eastAsia" w:cs="仿宋_GB2312" w:asciiTheme="minorEastAsia" w:hAnsiTheme="minorEastAsia" w:eastAsiaTheme="minorEastAsia"/>
                <w:snapToGrid w:val="0"/>
                <w:spacing w:val="-4"/>
                <w:sz w:val="20"/>
                <w:szCs w:val="20"/>
              </w:rPr>
              <w:t>篇</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cs="仿宋_GB2312" w:asciiTheme="minorEastAsia" w:hAnsiTheme="minorEastAsia" w:eastAsiaTheme="minorEastAsia"/>
                <w:snapToGrid w:val="0"/>
                <w:spacing w:val="-4"/>
                <w:sz w:val="20"/>
                <w:szCs w:val="20"/>
              </w:rPr>
            </w:pPr>
            <w:r>
              <w:rPr>
                <w:rFonts w:cs="仿宋_GB2312" w:asciiTheme="minorEastAsia" w:hAnsiTheme="minorEastAsia" w:eastAsiaTheme="minorEastAsia"/>
                <w:snapToGrid w:val="0"/>
                <w:spacing w:val="-4"/>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Theme="minorEastAsia" w:hAnsiTheme="minorEastAsia" w:eastAsiaTheme="minorEastAsia"/>
                <w:snapToGrid w:val="0"/>
                <w:spacing w:val="-4"/>
                <w:sz w:val="20"/>
                <w:szCs w:val="20"/>
              </w:rPr>
            </w:pPr>
            <w:r>
              <w:rPr>
                <w:rFonts w:hint="eastAsia" w:cs="仿宋_GB2312" w:asciiTheme="minorEastAsia" w:hAnsiTheme="minorEastAsia" w:eastAsiaTheme="minorEastAsia"/>
                <w:snapToGrid w:val="0"/>
                <w:spacing w:val="-4"/>
                <w:sz w:val="20"/>
                <w:szCs w:val="20"/>
              </w:rPr>
              <w:t>　　　　　</w:t>
            </w:r>
            <w:r>
              <w:rPr>
                <w:rFonts w:cs="仿宋_GB2312" w:asciiTheme="minorEastAsia" w:hAnsiTheme="minorEastAsia" w:eastAsiaTheme="minorEastAsia"/>
                <w:snapToGrid w:val="0"/>
                <w:spacing w:val="-4"/>
                <w:sz w:val="20"/>
                <w:szCs w:val="20"/>
              </w:rPr>
              <w:t>4.</w:t>
            </w:r>
            <w:r>
              <w:rPr>
                <w:rFonts w:hint="eastAsia" w:cs="仿宋_GB2312" w:asciiTheme="minorEastAsia" w:hAnsiTheme="minorEastAsia" w:eastAsiaTheme="minorEastAsia"/>
                <w:snapToGrid w:val="0"/>
                <w:spacing w:val="-4"/>
                <w:sz w:val="20"/>
                <w:szCs w:val="20"/>
              </w:rPr>
              <w:t>微博微信回应事件数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Theme="minorEastAsia" w:hAnsiTheme="minorEastAsia" w:eastAsiaTheme="minorEastAsia"/>
                <w:snapToGrid w:val="0"/>
                <w:spacing w:val="-4"/>
                <w:sz w:val="20"/>
                <w:szCs w:val="20"/>
              </w:rPr>
            </w:pPr>
            <w:r>
              <w:rPr>
                <w:rFonts w:hint="eastAsia" w:cs="仿宋_GB2312" w:asciiTheme="minorEastAsia" w:hAnsiTheme="minorEastAsia" w:eastAsiaTheme="minorEastAsia"/>
                <w:snapToGrid w:val="0"/>
                <w:spacing w:val="-4"/>
                <w:sz w:val="20"/>
                <w:szCs w:val="20"/>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Theme="minorEastAsia" w:hAnsiTheme="minorEastAsia" w:eastAsiaTheme="minorEastAsia"/>
                <w:snapToGrid w:val="0"/>
                <w:spacing w:val="-4"/>
                <w:sz w:val="20"/>
                <w:szCs w:val="20"/>
              </w:rPr>
            </w:pPr>
            <w:r>
              <w:rPr>
                <w:rFonts w:cs="仿宋_GB2312" w:asciiTheme="minorEastAsia" w:hAnsiTheme="minorEastAsia" w:eastAsiaTheme="minorEastAsia"/>
                <w:snapToGrid w:val="0"/>
                <w:spacing w:val="-4"/>
                <w:sz w:val="20"/>
                <w:szCs w:val="20"/>
              </w:rPr>
              <w:t>65</w:t>
            </w:r>
          </w:p>
        </w:tc>
      </w:tr>
    </w:tbl>
    <w:p>
      <w:pPr>
        <w:spacing w:line="560" w:lineRule="exact"/>
        <w:rPr>
          <w:rFonts w:ascii="黑体" w:eastAsia="黑体"/>
          <w:sz w:val="32"/>
          <w:szCs w:val="32"/>
        </w:rPr>
      </w:pPr>
    </w:p>
    <w:p>
      <w:pPr>
        <w:spacing w:line="560" w:lineRule="exact"/>
        <w:ind w:firstLine="640" w:firstLineChars="200"/>
        <w:rPr>
          <w:rFonts w:ascii="黑体" w:eastAsia="黑体"/>
          <w:sz w:val="32"/>
          <w:szCs w:val="32"/>
        </w:rPr>
      </w:pPr>
      <w:r>
        <w:rPr>
          <w:rFonts w:hint="eastAsia" w:ascii="黑体" w:eastAsia="黑体" w:cs="黑体"/>
          <w:sz w:val="32"/>
          <w:szCs w:val="32"/>
        </w:rPr>
        <w:t>四、收到和处理政府信息公开申请情况</w:t>
      </w:r>
    </w:p>
    <w:tbl>
      <w:tblPr>
        <w:tblStyle w:val="8"/>
        <w:tblW w:w="9071" w:type="dxa"/>
        <w:jc w:val="center"/>
        <w:tblInd w:w="0" w:type="dxa"/>
        <w:tblLayout w:type="fixed"/>
        <w:tblCellMar>
          <w:top w:w="15" w:type="dxa"/>
          <w:left w:w="15" w:type="dxa"/>
          <w:bottom w:w="15" w:type="dxa"/>
          <w:right w:w="15" w:type="dxa"/>
        </w:tblCellMar>
      </w:tblPr>
      <w:tblGrid>
        <w:gridCol w:w="617"/>
        <w:gridCol w:w="854"/>
        <w:gridCol w:w="2086"/>
        <w:gridCol w:w="813"/>
        <w:gridCol w:w="755"/>
        <w:gridCol w:w="755"/>
        <w:gridCol w:w="813"/>
        <w:gridCol w:w="973"/>
        <w:gridCol w:w="711"/>
        <w:gridCol w:w="694"/>
      </w:tblGrid>
      <w:tr>
        <w:tblPrEx>
          <w:tblLayout w:type="fixed"/>
          <w:tblCellMar>
            <w:top w:w="15" w:type="dxa"/>
            <w:left w:w="15" w:type="dxa"/>
            <w:bottom w:w="15" w:type="dxa"/>
            <w:right w:w="15" w:type="dxa"/>
          </w:tblCellMar>
        </w:tblPrEx>
        <w:trPr>
          <w:jc w:val="center"/>
        </w:trPr>
        <w:tc>
          <w:tcPr>
            <w:tcW w:w="3557" w:type="dxa"/>
            <w:gridSpan w:val="3"/>
            <w:vMerge w:val="restart"/>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（本列数据的勾稽关系为：第一项加第二项之和，等于第三项加第四项之和）</w:t>
            </w:r>
          </w:p>
        </w:tc>
        <w:tc>
          <w:tcPr>
            <w:tcW w:w="5514" w:type="dxa"/>
            <w:gridSpan w:val="7"/>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申请人情况</w:t>
            </w:r>
          </w:p>
        </w:tc>
      </w:tr>
      <w:tr>
        <w:tblPrEx>
          <w:tblLayout w:type="fixed"/>
          <w:tblCellMar>
            <w:top w:w="15" w:type="dxa"/>
            <w:left w:w="15" w:type="dxa"/>
            <w:bottom w:w="15" w:type="dxa"/>
            <w:right w:w="15"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heme="minorEastAsia" w:hAnsiTheme="minorEastAsia" w:eastAsiaTheme="minorEastAsia"/>
                <w:color w:val="000000"/>
                <w:kern w:val="0"/>
                <w:sz w:val="20"/>
                <w:szCs w:val="20"/>
              </w:rPr>
            </w:pPr>
          </w:p>
        </w:tc>
        <w:tc>
          <w:tcPr>
            <w:tcW w:w="813"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自然人</w:t>
            </w:r>
          </w:p>
        </w:tc>
        <w:tc>
          <w:tcPr>
            <w:tcW w:w="4007"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法人或其他组织</w:t>
            </w:r>
          </w:p>
        </w:tc>
        <w:tc>
          <w:tcPr>
            <w:tcW w:w="69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总计</w:t>
            </w:r>
          </w:p>
        </w:tc>
      </w:tr>
      <w:tr>
        <w:tblPrEx>
          <w:tblLayout w:type="fixed"/>
          <w:tblCellMar>
            <w:top w:w="15" w:type="dxa"/>
            <w:left w:w="15" w:type="dxa"/>
            <w:bottom w:w="15" w:type="dxa"/>
            <w:right w:w="15"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heme="minorEastAsia" w:hAnsiTheme="minorEastAsia" w:eastAsiaTheme="minorEastAsia"/>
                <w:color w:val="000000"/>
                <w:kern w:val="0"/>
                <w:sz w:val="20"/>
                <w:szCs w:val="20"/>
              </w:rPr>
            </w:pPr>
          </w:p>
        </w:tc>
        <w:tc>
          <w:tcPr>
            <w:tcW w:w="813" w:type="dxa"/>
            <w:vMerge w:val="continue"/>
            <w:tcBorders>
              <w:top w:val="nil"/>
              <w:left w:val="nil"/>
              <w:bottom w:val="single" w:color="auto" w:sz="8" w:space="0"/>
              <w:right w:val="single" w:color="auto" w:sz="8" w:space="0"/>
            </w:tcBorders>
            <w:vAlign w:val="center"/>
          </w:tcPr>
          <w:p>
            <w:pPr>
              <w:widowControl/>
              <w:jc w:val="left"/>
              <w:rPr>
                <w:rFonts w:asciiTheme="minorEastAsia" w:hAnsiTheme="minorEastAsia" w:eastAsiaTheme="minorEastAsia"/>
                <w:color w:val="000000"/>
                <w:kern w:val="0"/>
                <w:sz w:val="20"/>
                <w:szCs w:val="20"/>
              </w:rPr>
            </w:pP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商业企业</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科研机构</w:t>
            </w:r>
          </w:p>
        </w:tc>
        <w:tc>
          <w:tcPr>
            <w:tcW w:w="813"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社会公益组织</w:t>
            </w:r>
          </w:p>
        </w:tc>
        <w:tc>
          <w:tcPr>
            <w:tcW w:w="973"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法律服务机构</w:t>
            </w:r>
          </w:p>
        </w:tc>
        <w:tc>
          <w:tcPr>
            <w:tcW w:w="711"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其他</w:t>
            </w:r>
          </w:p>
        </w:tc>
        <w:tc>
          <w:tcPr>
            <w:tcW w:w="694" w:type="dxa"/>
            <w:vMerge w:val="continue"/>
            <w:tcBorders>
              <w:top w:val="single" w:color="auto" w:sz="8" w:space="0"/>
              <w:left w:val="nil"/>
              <w:bottom w:val="single" w:color="auto" w:sz="8" w:space="0"/>
              <w:right w:val="single" w:color="auto" w:sz="8" w:space="0"/>
            </w:tcBorders>
            <w:vAlign w:val="center"/>
          </w:tcPr>
          <w:p>
            <w:pPr>
              <w:widowControl/>
              <w:jc w:val="left"/>
              <w:rPr>
                <w:rFonts w:asciiTheme="minorEastAsia" w:hAnsiTheme="minorEastAsia" w:eastAsiaTheme="minorEastAsia"/>
                <w:color w:val="000000"/>
                <w:kern w:val="0"/>
                <w:sz w:val="20"/>
                <w:szCs w:val="20"/>
              </w:rPr>
            </w:pPr>
          </w:p>
        </w:tc>
      </w:tr>
      <w:tr>
        <w:tblPrEx>
          <w:tblLayout w:type="fixed"/>
          <w:tblCellMar>
            <w:top w:w="15" w:type="dxa"/>
            <w:left w:w="15" w:type="dxa"/>
            <w:bottom w:w="15" w:type="dxa"/>
            <w:right w:w="15" w:type="dxa"/>
          </w:tblCellMar>
        </w:tblPrEx>
        <w:trPr>
          <w:jc w:val="center"/>
        </w:trPr>
        <w:tc>
          <w:tcPr>
            <w:tcW w:w="3557"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一、本年新收政府信息公开申请数量</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1</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1</w:t>
            </w:r>
          </w:p>
        </w:tc>
      </w:tr>
      <w:tr>
        <w:tblPrEx>
          <w:tblLayout w:type="fixed"/>
          <w:tblCellMar>
            <w:top w:w="15" w:type="dxa"/>
            <w:left w:w="15" w:type="dxa"/>
            <w:bottom w:w="15" w:type="dxa"/>
            <w:right w:w="15" w:type="dxa"/>
          </w:tblCellMar>
        </w:tblPrEx>
        <w:trPr>
          <w:jc w:val="center"/>
        </w:trPr>
        <w:tc>
          <w:tcPr>
            <w:tcW w:w="3557"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二、上年结转政府信息公开申请数量</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r>
      <w:tr>
        <w:tblPrEx>
          <w:tblLayout w:type="fixed"/>
          <w:tblCellMar>
            <w:top w:w="15" w:type="dxa"/>
            <w:left w:w="15" w:type="dxa"/>
            <w:bottom w:w="15" w:type="dxa"/>
            <w:right w:w="15" w:type="dxa"/>
          </w:tblCellMar>
        </w:tblPrEx>
        <w:trPr>
          <w:jc w:val="center"/>
        </w:trPr>
        <w:tc>
          <w:tcPr>
            <w:tcW w:w="617"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三、本年度办理结果</w:t>
            </w:r>
          </w:p>
        </w:tc>
        <w:tc>
          <w:tcPr>
            <w:tcW w:w="2940"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Theme="minorEastAsia" w:hAnsiTheme="minorEastAsia" w:eastAsiaTheme="minorEastAsia"/>
                <w:color w:val="000000"/>
                <w:kern w:val="0"/>
                <w:sz w:val="20"/>
                <w:szCs w:val="20"/>
              </w:rPr>
            </w:pPr>
            <w:r>
              <w:rPr>
                <w:rFonts w:hint="eastAsia" w:cs="楷体" w:asciiTheme="minorEastAsia" w:hAnsiTheme="minorEastAsia" w:eastAsiaTheme="minorEastAsia"/>
                <w:color w:val="000000"/>
                <w:kern w:val="0"/>
                <w:sz w:val="20"/>
                <w:szCs w:val="20"/>
              </w:rPr>
              <w:t>（一）予以公开</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1</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694"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Calibri" w:asciiTheme="minorEastAsia" w:hAnsiTheme="minorEastAsia" w:eastAsiaTheme="minorEastAsia"/>
                <w:color w:val="000000"/>
                <w:kern w:val="0"/>
                <w:sz w:val="20"/>
                <w:szCs w:val="20"/>
              </w:rPr>
              <w:t>1</w:t>
            </w:r>
          </w:p>
        </w:tc>
      </w:tr>
      <w:tr>
        <w:tblPrEx>
          <w:tblLayout w:type="fixed"/>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eastAsiaTheme="minorEastAsia"/>
                <w:color w:val="000000"/>
                <w:kern w:val="0"/>
                <w:sz w:val="20"/>
                <w:szCs w:val="20"/>
              </w:rPr>
            </w:pPr>
          </w:p>
        </w:tc>
        <w:tc>
          <w:tcPr>
            <w:tcW w:w="2940"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Theme="minorEastAsia" w:hAnsiTheme="minorEastAsia" w:eastAsiaTheme="minorEastAsia"/>
                <w:color w:val="000000"/>
                <w:kern w:val="0"/>
                <w:sz w:val="20"/>
                <w:szCs w:val="20"/>
              </w:rPr>
            </w:pPr>
            <w:r>
              <w:rPr>
                <w:rFonts w:hint="eastAsia" w:cs="楷体" w:asciiTheme="minorEastAsia" w:hAnsiTheme="minorEastAsia" w:eastAsiaTheme="minorEastAsia"/>
                <w:color w:val="000000"/>
                <w:kern w:val="0"/>
                <w:sz w:val="20"/>
                <w:szCs w:val="20"/>
              </w:rPr>
              <w:t>（二）部分公开（区分处理的，只计这一情形，不计其他情形）</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r>
      <w:tr>
        <w:tblPrEx>
          <w:tblLayout w:type="fixed"/>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eastAsiaTheme="minorEastAsia"/>
                <w:color w:val="000000"/>
                <w:kern w:val="0"/>
                <w:sz w:val="20"/>
                <w:szCs w:val="20"/>
              </w:rPr>
            </w:pPr>
          </w:p>
        </w:tc>
        <w:tc>
          <w:tcPr>
            <w:tcW w:w="85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Theme="minorEastAsia" w:hAnsiTheme="minorEastAsia" w:eastAsiaTheme="minorEastAsia"/>
                <w:color w:val="000000"/>
                <w:kern w:val="0"/>
                <w:sz w:val="20"/>
                <w:szCs w:val="20"/>
              </w:rPr>
            </w:pPr>
            <w:r>
              <w:rPr>
                <w:rFonts w:hint="eastAsia" w:cs="楷体" w:asciiTheme="minorEastAsia" w:hAnsiTheme="minorEastAsia" w:eastAsiaTheme="minorEastAsia"/>
                <w:color w:val="000000"/>
                <w:kern w:val="0"/>
                <w:sz w:val="20"/>
                <w:szCs w:val="20"/>
              </w:rPr>
              <w:t>（三）不予公开</w:t>
            </w: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Theme="minorEastAsia" w:hAnsiTheme="minorEastAsia" w:eastAsiaTheme="minorEastAsia"/>
                <w:color w:val="000000"/>
                <w:kern w:val="0"/>
                <w:sz w:val="20"/>
                <w:szCs w:val="20"/>
              </w:rPr>
            </w:pPr>
            <w:r>
              <w:rPr>
                <w:rFonts w:cs="楷体" w:asciiTheme="minorEastAsia" w:hAnsiTheme="minorEastAsia" w:eastAsiaTheme="minorEastAsia"/>
                <w:color w:val="000000"/>
                <w:kern w:val="0"/>
                <w:sz w:val="20"/>
                <w:szCs w:val="20"/>
              </w:rPr>
              <w:t>1.</w:t>
            </w:r>
            <w:r>
              <w:rPr>
                <w:rFonts w:hint="eastAsia" w:cs="楷体" w:asciiTheme="minorEastAsia" w:hAnsiTheme="minorEastAsia" w:eastAsiaTheme="minorEastAsia"/>
                <w:color w:val="000000"/>
                <w:kern w:val="0"/>
                <w:sz w:val="20"/>
                <w:szCs w:val="20"/>
              </w:rPr>
              <w:t>属于国家秘密</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694"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r>
      <w:tr>
        <w:tblPrEx>
          <w:tblLayout w:type="fixed"/>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eastAsiaTheme="minorEastAsia"/>
                <w:color w:val="000000"/>
                <w:kern w:val="0"/>
                <w:sz w:val="20"/>
                <w:szCs w:val="20"/>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Theme="minorEastAsia" w:hAnsiTheme="minorEastAsia" w:eastAsiaTheme="minorEastAsia"/>
                <w:color w:val="000000"/>
                <w:kern w:val="0"/>
                <w:sz w:val="20"/>
                <w:szCs w:val="20"/>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Theme="minorEastAsia" w:hAnsiTheme="minorEastAsia" w:eastAsiaTheme="minorEastAsia"/>
                <w:color w:val="000000"/>
                <w:kern w:val="0"/>
                <w:sz w:val="20"/>
                <w:szCs w:val="20"/>
              </w:rPr>
            </w:pPr>
            <w:r>
              <w:rPr>
                <w:rFonts w:cs="楷体" w:asciiTheme="minorEastAsia" w:hAnsiTheme="minorEastAsia" w:eastAsiaTheme="minorEastAsia"/>
                <w:color w:val="000000"/>
                <w:kern w:val="0"/>
                <w:sz w:val="20"/>
                <w:szCs w:val="20"/>
              </w:rPr>
              <w:t>2.</w:t>
            </w:r>
            <w:r>
              <w:rPr>
                <w:rFonts w:hint="eastAsia" w:cs="楷体" w:asciiTheme="minorEastAsia" w:hAnsiTheme="minorEastAsia" w:eastAsiaTheme="minorEastAsia"/>
                <w:color w:val="000000"/>
                <w:kern w:val="0"/>
                <w:sz w:val="20"/>
                <w:szCs w:val="20"/>
              </w:rPr>
              <w:t>其他法律行政法规禁止公开</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r>
      <w:tr>
        <w:tblPrEx>
          <w:tblLayout w:type="fixed"/>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eastAsiaTheme="minorEastAsia"/>
                <w:color w:val="000000"/>
                <w:kern w:val="0"/>
                <w:sz w:val="20"/>
                <w:szCs w:val="20"/>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Theme="minorEastAsia" w:hAnsiTheme="minorEastAsia" w:eastAsiaTheme="minorEastAsia"/>
                <w:color w:val="000000"/>
                <w:kern w:val="0"/>
                <w:sz w:val="20"/>
                <w:szCs w:val="20"/>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Theme="minorEastAsia" w:hAnsiTheme="minorEastAsia" w:eastAsiaTheme="minorEastAsia"/>
                <w:color w:val="000000"/>
                <w:kern w:val="0"/>
                <w:sz w:val="20"/>
                <w:szCs w:val="20"/>
              </w:rPr>
            </w:pPr>
            <w:r>
              <w:rPr>
                <w:rFonts w:cs="楷体" w:asciiTheme="minorEastAsia" w:hAnsiTheme="minorEastAsia" w:eastAsiaTheme="minorEastAsia"/>
                <w:color w:val="000000"/>
                <w:kern w:val="0"/>
                <w:sz w:val="20"/>
                <w:szCs w:val="20"/>
              </w:rPr>
              <w:t>3.</w:t>
            </w:r>
            <w:r>
              <w:rPr>
                <w:rFonts w:hint="eastAsia" w:cs="楷体" w:asciiTheme="minorEastAsia" w:hAnsiTheme="minorEastAsia" w:eastAsiaTheme="minorEastAsia"/>
                <w:color w:val="000000"/>
                <w:kern w:val="0"/>
                <w:sz w:val="20"/>
                <w:szCs w:val="20"/>
              </w:rPr>
              <w:t>危及“三安全一稳定”</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r>
      <w:tr>
        <w:tblPrEx>
          <w:tblLayout w:type="fixed"/>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eastAsiaTheme="minorEastAsia"/>
                <w:color w:val="000000"/>
                <w:kern w:val="0"/>
                <w:sz w:val="20"/>
                <w:szCs w:val="20"/>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Theme="minorEastAsia" w:hAnsiTheme="minorEastAsia" w:eastAsiaTheme="minorEastAsia"/>
                <w:color w:val="000000"/>
                <w:kern w:val="0"/>
                <w:sz w:val="20"/>
                <w:szCs w:val="20"/>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Theme="minorEastAsia" w:hAnsiTheme="minorEastAsia" w:eastAsiaTheme="minorEastAsia"/>
                <w:color w:val="000000"/>
                <w:kern w:val="0"/>
                <w:sz w:val="20"/>
                <w:szCs w:val="20"/>
              </w:rPr>
            </w:pPr>
            <w:r>
              <w:rPr>
                <w:rFonts w:cs="楷体" w:asciiTheme="minorEastAsia" w:hAnsiTheme="minorEastAsia" w:eastAsiaTheme="minorEastAsia"/>
                <w:color w:val="000000"/>
                <w:kern w:val="0"/>
                <w:sz w:val="20"/>
                <w:szCs w:val="20"/>
              </w:rPr>
              <w:t>4.</w:t>
            </w:r>
            <w:r>
              <w:rPr>
                <w:rFonts w:hint="eastAsia" w:cs="楷体" w:asciiTheme="minorEastAsia" w:hAnsiTheme="minorEastAsia" w:eastAsiaTheme="minorEastAsia"/>
                <w:color w:val="000000"/>
                <w:kern w:val="0"/>
                <w:sz w:val="20"/>
                <w:szCs w:val="20"/>
              </w:rPr>
              <w:t>保护第三方合法权益</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r>
      <w:tr>
        <w:tblPrEx>
          <w:tblLayout w:type="fixed"/>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eastAsiaTheme="minorEastAsia"/>
                <w:color w:val="000000"/>
                <w:kern w:val="0"/>
                <w:sz w:val="20"/>
                <w:szCs w:val="20"/>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Theme="minorEastAsia" w:hAnsiTheme="minorEastAsia" w:eastAsiaTheme="minorEastAsia"/>
                <w:color w:val="000000"/>
                <w:kern w:val="0"/>
                <w:sz w:val="20"/>
                <w:szCs w:val="20"/>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Theme="minorEastAsia" w:hAnsiTheme="minorEastAsia" w:eastAsiaTheme="minorEastAsia"/>
                <w:color w:val="000000"/>
                <w:kern w:val="0"/>
                <w:sz w:val="20"/>
                <w:szCs w:val="20"/>
              </w:rPr>
            </w:pPr>
            <w:r>
              <w:rPr>
                <w:rFonts w:cs="楷体" w:asciiTheme="minorEastAsia" w:hAnsiTheme="minorEastAsia" w:eastAsiaTheme="minorEastAsia"/>
                <w:color w:val="000000"/>
                <w:kern w:val="0"/>
                <w:sz w:val="20"/>
                <w:szCs w:val="20"/>
              </w:rPr>
              <w:t>5.</w:t>
            </w:r>
            <w:r>
              <w:rPr>
                <w:rFonts w:hint="eastAsia" w:cs="楷体" w:asciiTheme="minorEastAsia" w:hAnsiTheme="minorEastAsia" w:eastAsiaTheme="minorEastAsia"/>
                <w:color w:val="000000"/>
                <w:kern w:val="0"/>
                <w:sz w:val="20"/>
                <w:szCs w:val="20"/>
              </w:rPr>
              <w:t>属于三类内部事务信息</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r>
      <w:tr>
        <w:tblPrEx>
          <w:tblLayout w:type="fixed"/>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eastAsiaTheme="minorEastAsia"/>
                <w:color w:val="000000"/>
                <w:kern w:val="0"/>
                <w:sz w:val="20"/>
                <w:szCs w:val="20"/>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Theme="minorEastAsia" w:hAnsiTheme="minorEastAsia" w:eastAsiaTheme="minorEastAsia"/>
                <w:color w:val="000000"/>
                <w:kern w:val="0"/>
                <w:sz w:val="20"/>
                <w:szCs w:val="20"/>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Theme="minorEastAsia" w:hAnsiTheme="minorEastAsia" w:eastAsiaTheme="minorEastAsia"/>
                <w:color w:val="000000"/>
                <w:kern w:val="0"/>
                <w:sz w:val="20"/>
                <w:szCs w:val="20"/>
              </w:rPr>
            </w:pPr>
            <w:r>
              <w:rPr>
                <w:rFonts w:cs="楷体" w:asciiTheme="minorEastAsia" w:hAnsiTheme="minorEastAsia" w:eastAsiaTheme="minorEastAsia"/>
                <w:color w:val="000000"/>
                <w:kern w:val="0"/>
                <w:sz w:val="20"/>
                <w:szCs w:val="20"/>
              </w:rPr>
              <w:t>6.</w:t>
            </w:r>
            <w:r>
              <w:rPr>
                <w:rFonts w:hint="eastAsia" w:cs="楷体" w:asciiTheme="minorEastAsia" w:hAnsiTheme="minorEastAsia" w:eastAsiaTheme="minorEastAsia"/>
                <w:color w:val="000000"/>
                <w:kern w:val="0"/>
                <w:sz w:val="20"/>
                <w:szCs w:val="20"/>
              </w:rPr>
              <w:t>属于四类过程性信息</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r>
      <w:tr>
        <w:tblPrEx>
          <w:tblLayout w:type="fixed"/>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eastAsiaTheme="minorEastAsia"/>
                <w:color w:val="000000"/>
                <w:kern w:val="0"/>
                <w:sz w:val="20"/>
                <w:szCs w:val="20"/>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Theme="minorEastAsia" w:hAnsiTheme="minorEastAsia" w:eastAsiaTheme="minorEastAsia"/>
                <w:color w:val="000000"/>
                <w:kern w:val="0"/>
                <w:sz w:val="20"/>
                <w:szCs w:val="20"/>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Theme="minorEastAsia" w:hAnsiTheme="minorEastAsia" w:eastAsiaTheme="minorEastAsia"/>
                <w:color w:val="000000"/>
                <w:kern w:val="0"/>
                <w:sz w:val="20"/>
                <w:szCs w:val="20"/>
              </w:rPr>
            </w:pPr>
            <w:r>
              <w:rPr>
                <w:rFonts w:cs="楷体" w:asciiTheme="minorEastAsia" w:hAnsiTheme="minorEastAsia" w:eastAsiaTheme="minorEastAsia"/>
                <w:color w:val="000000"/>
                <w:kern w:val="0"/>
                <w:sz w:val="20"/>
                <w:szCs w:val="20"/>
              </w:rPr>
              <w:t>7.</w:t>
            </w:r>
            <w:r>
              <w:rPr>
                <w:rFonts w:hint="eastAsia" w:cs="楷体" w:asciiTheme="minorEastAsia" w:hAnsiTheme="minorEastAsia" w:eastAsiaTheme="minorEastAsia"/>
                <w:color w:val="000000"/>
                <w:kern w:val="0"/>
                <w:sz w:val="20"/>
                <w:szCs w:val="20"/>
              </w:rPr>
              <w:t>属于行政执法案卷</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r>
      <w:tr>
        <w:tblPrEx>
          <w:tblLayout w:type="fixed"/>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eastAsiaTheme="minorEastAsia"/>
                <w:color w:val="000000"/>
                <w:kern w:val="0"/>
                <w:sz w:val="20"/>
                <w:szCs w:val="20"/>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Theme="minorEastAsia" w:hAnsiTheme="minorEastAsia" w:eastAsiaTheme="minorEastAsia"/>
                <w:color w:val="000000"/>
                <w:kern w:val="0"/>
                <w:sz w:val="20"/>
                <w:szCs w:val="20"/>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Theme="minorEastAsia" w:hAnsiTheme="minorEastAsia" w:eastAsiaTheme="minorEastAsia"/>
                <w:color w:val="000000"/>
                <w:kern w:val="0"/>
                <w:sz w:val="20"/>
                <w:szCs w:val="20"/>
              </w:rPr>
            </w:pPr>
            <w:r>
              <w:rPr>
                <w:rFonts w:cs="楷体" w:asciiTheme="minorEastAsia" w:hAnsiTheme="minorEastAsia" w:eastAsiaTheme="minorEastAsia"/>
                <w:color w:val="000000"/>
                <w:kern w:val="0"/>
                <w:sz w:val="20"/>
                <w:szCs w:val="20"/>
              </w:rPr>
              <w:t>8.</w:t>
            </w:r>
            <w:r>
              <w:rPr>
                <w:rFonts w:hint="eastAsia" w:cs="楷体" w:asciiTheme="minorEastAsia" w:hAnsiTheme="minorEastAsia" w:eastAsiaTheme="minorEastAsia"/>
                <w:color w:val="000000"/>
                <w:kern w:val="0"/>
                <w:sz w:val="20"/>
                <w:szCs w:val="20"/>
              </w:rPr>
              <w:t>属于行政查询事项</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r>
      <w:tr>
        <w:tblPrEx>
          <w:tblLayout w:type="fixed"/>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eastAsiaTheme="minorEastAsia"/>
                <w:color w:val="000000"/>
                <w:kern w:val="0"/>
                <w:sz w:val="20"/>
                <w:szCs w:val="20"/>
              </w:rPr>
            </w:pPr>
          </w:p>
        </w:tc>
        <w:tc>
          <w:tcPr>
            <w:tcW w:w="85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Theme="minorEastAsia" w:hAnsiTheme="minorEastAsia" w:eastAsiaTheme="minorEastAsia"/>
                <w:color w:val="000000"/>
                <w:kern w:val="0"/>
                <w:sz w:val="20"/>
                <w:szCs w:val="20"/>
              </w:rPr>
            </w:pPr>
            <w:r>
              <w:rPr>
                <w:rFonts w:hint="eastAsia" w:cs="楷体" w:asciiTheme="minorEastAsia" w:hAnsiTheme="minorEastAsia" w:eastAsiaTheme="minorEastAsia"/>
                <w:color w:val="000000"/>
                <w:kern w:val="0"/>
                <w:sz w:val="20"/>
                <w:szCs w:val="20"/>
              </w:rPr>
              <w:t>（四）无法提供</w:t>
            </w: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Theme="minorEastAsia" w:hAnsiTheme="minorEastAsia" w:eastAsiaTheme="minorEastAsia"/>
                <w:color w:val="000000"/>
                <w:kern w:val="0"/>
                <w:sz w:val="20"/>
                <w:szCs w:val="20"/>
              </w:rPr>
            </w:pPr>
            <w:r>
              <w:rPr>
                <w:rFonts w:cs="楷体" w:asciiTheme="minorEastAsia" w:hAnsiTheme="minorEastAsia" w:eastAsiaTheme="minorEastAsia"/>
                <w:color w:val="000000"/>
                <w:kern w:val="0"/>
                <w:sz w:val="20"/>
                <w:szCs w:val="20"/>
              </w:rPr>
              <w:t>1.</w:t>
            </w:r>
            <w:r>
              <w:rPr>
                <w:rFonts w:hint="eastAsia" w:cs="楷体" w:asciiTheme="minorEastAsia" w:hAnsiTheme="minorEastAsia" w:eastAsiaTheme="minorEastAsia"/>
                <w:color w:val="000000"/>
                <w:kern w:val="0"/>
                <w:sz w:val="20"/>
                <w:szCs w:val="20"/>
              </w:rPr>
              <w:t>本机关不掌握相关政府信息</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r>
      <w:tr>
        <w:tblPrEx>
          <w:tblLayout w:type="fixed"/>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eastAsiaTheme="minorEastAsia"/>
                <w:color w:val="000000"/>
                <w:kern w:val="0"/>
                <w:sz w:val="20"/>
                <w:szCs w:val="20"/>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Theme="minorEastAsia" w:hAnsiTheme="minorEastAsia" w:eastAsiaTheme="minorEastAsia"/>
                <w:color w:val="000000"/>
                <w:kern w:val="0"/>
                <w:sz w:val="20"/>
                <w:szCs w:val="20"/>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Theme="minorEastAsia" w:hAnsiTheme="minorEastAsia" w:eastAsiaTheme="minorEastAsia"/>
                <w:color w:val="000000"/>
                <w:kern w:val="0"/>
                <w:sz w:val="20"/>
                <w:szCs w:val="20"/>
              </w:rPr>
            </w:pPr>
            <w:r>
              <w:rPr>
                <w:rFonts w:cs="楷体" w:asciiTheme="minorEastAsia" w:hAnsiTheme="minorEastAsia" w:eastAsiaTheme="minorEastAsia"/>
                <w:color w:val="000000"/>
                <w:kern w:val="0"/>
                <w:sz w:val="20"/>
                <w:szCs w:val="20"/>
              </w:rPr>
              <w:t>2.</w:t>
            </w:r>
            <w:r>
              <w:rPr>
                <w:rFonts w:hint="eastAsia" w:cs="楷体" w:asciiTheme="minorEastAsia" w:hAnsiTheme="minorEastAsia" w:eastAsiaTheme="minorEastAsia"/>
                <w:color w:val="000000"/>
                <w:kern w:val="0"/>
                <w:sz w:val="20"/>
                <w:szCs w:val="20"/>
              </w:rPr>
              <w:t>没有现成信息需要另行制作</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r>
      <w:tr>
        <w:tblPrEx>
          <w:tblLayout w:type="fixed"/>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eastAsiaTheme="minorEastAsia"/>
                <w:color w:val="000000"/>
                <w:kern w:val="0"/>
                <w:sz w:val="20"/>
                <w:szCs w:val="20"/>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Theme="minorEastAsia" w:hAnsiTheme="minorEastAsia" w:eastAsiaTheme="minorEastAsia"/>
                <w:color w:val="000000"/>
                <w:kern w:val="0"/>
                <w:sz w:val="20"/>
                <w:szCs w:val="20"/>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Theme="minorEastAsia" w:hAnsiTheme="minorEastAsia" w:eastAsiaTheme="minorEastAsia"/>
                <w:color w:val="000000"/>
                <w:kern w:val="0"/>
                <w:sz w:val="20"/>
                <w:szCs w:val="20"/>
              </w:rPr>
            </w:pPr>
            <w:r>
              <w:rPr>
                <w:rFonts w:cs="楷体" w:asciiTheme="minorEastAsia" w:hAnsiTheme="minorEastAsia" w:eastAsiaTheme="minorEastAsia"/>
                <w:color w:val="000000"/>
                <w:kern w:val="0"/>
                <w:sz w:val="20"/>
                <w:szCs w:val="20"/>
              </w:rPr>
              <w:t>3.</w:t>
            </w:r>
            <w:r>
              <w:rPr>
                <w:rFonts w:hint="eastAsia" w:cs="楷体" w:asciiTheme="minorEastAsia" w:hAnsiTheme="minorEastAsia" w:eastAsiaTheme="minorEastAsia"/>
                <w:color w:val="000000"/>
                <w:kern w:val="0"/>
                <w:sz w:val="20"/>
                <w:szCs w:val="20"/>
              </w:rPr>
              <w:t>补正后申请内容仍不明确</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r>
      <w:tr>
        <w:tblPrEx>
          <w:tblLayout w:type="fixed"/>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eastAsiaTheme="minorEastAsia"/>
                <w:color w:val="000000"/>
                <w:kern w:val="0"/>
                <w:sz w:val="20"/>
                <w:szCs w:val="20"/>
              </w:rPr>
            </w:pPr>
          </w:p>
        </w:tc>
        <w:tc>
          <w:tcPr>
            <w:tcW w:w="85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Theme="minorEastAsia" w:hAnsiTheme="minorEastAsia" w:eastAsiaTheme="minorEastAsia"/>
                <w:color w:val="000000"/>
                <w:kern w:val="0"/>
                <w:sz w:val="20"/>
                <w:szCs w:val="20"/>
              </w:rPr>
            </w:pPr>
            <w:r>
              <w:rPr>
                <w:rFonts w:hint="eastAsia" w:cs="楷体" w:asciiTheme="minorEastAsia" w:hAnsiTheme="minorEastAsia" w:eastAsiaTheme="minorEastAsia"/>
                <w:color w:val="000000"/>
                <w:kern w:val="0"/>
                <w:sz w:val="20"/>
                <w:szCs w:val="20"/>
              </w:rPr>
              <w:t>（五）不予处理</w:t>
            </w: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Theme="minorEastAsia" w:hAnsiTheme="minorEastAsia" w:eastAsiaTheme="minorEastAsia"/>
                <w:color w:val="000000"/>
                <w:kern w:val="0"/>
                <w:sz w:val="20"/>
                <w:szCs w:val="20"/>
              </w:rPr>
            </w:pPr>
            <w:r>
              <w:rPr>
                <w:rFonts w:cs="楷体" w:asciiTheme="minorEastAsia" w:hAnsiTheme="minorEastAsia" w:eastAsiaTheme="minorEastAsia"/>
                <w:color w:val="000000"/>
                <w:kern w:val="0"/>
                <w:sz w:val="20"/>
                <w:szCs w:val="20"/>
              </w:rPr>
              <w:t>1.</w:t>
            </w:r>
            <w:r>
              <w:rPr>
                <w:rFonts w:hint="eastAsia" w:cs="楷体" w:asciiTheme="minorEastAsia" w:hAnsiTheme="minorEastAsia" w:eastAsiaTheme="minorEastAsia"/>
                <w:color w:val="000000"/>
                <w:kern w:val="0"/>
                <w:sz w:val="20"/>
                <w:szCs w:val="20"/>
              </w:rPr>
              <w:t>信访举报投诉类申请</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r>
      <w:tr>
        <w:tblPrEx>
          <w:tblLayout w:type="fixed"/>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eastAsiaTheme="minorEastAsia"/>
                <w:color w:val="000000"/>
                <w:kern w:val="0"/>
                <w:sz w:val="20"/>
                <w:szCs w:val="20"/>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Theme="minorEastAsia" w:hAnsiTheme="minorEastAsia" w:eastAsiaTheme="minorEastAsia"/>
                <w:color w:val="000000"/>
                <w:kern w:val="0"/>
                <w:sz w:val="20"/>
                <w:szCs w:val="20"/>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Theme="minorEastAsia" w:hAnsiTheme="minorEastAsia" w:eastAsiaTheme="minorEastAsia"/>
                <w:color w:val="000000"/>
                <w:kern w:val="0"/>
                <w:sz w:val="20"/>
                <w:szCs w:val="20"/>
              </w:rPr>
            </w:pPr>
            <w:r>
              <w:rPr>
                <w:rFonts w:cs="楷体" w:asciiTheme="minorEastAsia" w:hAnsiTheme="minorEastAsia" w:eastAsiaTheme="minorEastAsia"/>
                <w:color w:val="000000"/>
                <w:kern w:val="0"/>
                <w:sz w:val="20"/>
                <w:szCs w:val="20"/>
              </w:rPr>
              <w:t>2.</w:t>
            </w:r>
            <w:r>
              <w:rPr>
                <w:rFonts w:hint="eastAsia" w:cs="楷体" w:asciiTheme="minorEastAsia" w:hAnsiTheme="minorEastAsia" w:eastAsiaTheme="minorEastAsia"/>
                <w:color w:val="000000"/>
                <w:kern w:val="0"/>
                <w:sz w:val="20"/>
                <w:szCs w:val="20"/>
              </w:rPr>
              <w:t>重复申请</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r>
      <w:tr>
        <w:tblPrEx>
          <w:tblLayout w:type="fixed"/>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eastAsiaTheme="minorEastAsia"/>
                <w:color w:val="000000"/>
                <w:kern w:val="0"/>
                <w:sz w:val="20"/>
                <w:szCs w:val="20"/>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Theme="minorEastAsia" w:hAnsiTheme="minorEastAsia" w:eastAsiaTheme="minorEastAsia"/>
                <w:color w:val="000000"/>
                <w:kern w:val="0"/>
                <w:sz w:val="20"/>
                <w:szCs w:val="20"/>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Theme="minorEastAsia" w:hAnsiTheme="minorEastAsia" w:eastAsiaTheme="minorEastAsia"/>
                <w:color w:val="000000"/>
                <w:kern w:val="0"/>
                <w:sz w:val="20"/>
                <w:szCs w:val="20"/>
              </w:rPr>
            </w:pPr>
            <w:r>
              <w:rPr>
                <w:rFonts w:cs="楷体" w:asciiTheme="minorEastAsia" w:hAnsiTheme="minorEastAsia" w:eastAsiaTheme="minorEastAsia"/>
                <w:color w:val="000000"/>
                <w:kern w:val="0"/>
                <w:sz w:val="20"/>
                <w:szCs w:val="20"/>
              </w:rPr>
              <w:t>3.</w:t>
            </w:r>
            <w:r>
              <w:rPr>
                <w:rFonts w:hint="eastAsia" w:cs="楷体" w:asciiTheme="minorEastAsia" w:hAnsiTheme="minorEastAsia" w:eastAsiaTheme="minorEastAsia"/>
                <w:color w:val="000000"/>
                <w:kern w:val="0"/>
                <w:sz w:val="20"/>
                <w:szCs w:val="20"/>
              </w:rPr>
              <w:t>要求提供公开出版物</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r>
      <w:tr>
        <w:tblPrEx>
          <w:tblLayout w:type="fixed"/>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eastAsiaTheme="minorEastAsia"/>
                <w:color w:val="000000"/>
                <w:kern w:val="0"/>
                <w:sz w:val="20"/>
                <w:szCs w:val="20"/>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Theme="minorEastAsia" w:hAnsiTheme="minorEastAsia" w:eastAsiaTheme="minorEastAsia"/>
                <w:color w:val="000000"/>
                <w:kern w:val="0"/>
                <w:sz w:val="20"/>
                <w:szCs w:val="20"/>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Theme="minorEastAsia" w:hAnsiTheme="minorEastAsia" w:eastAsiaTheme="minorEastAsia"/>
                <w:color w:val="000000"/>
                <w:kern w:val="0"/>
                <w:sz w:val="20"/>
                <w:szCs w:val="20"/>
              </w:rPr>
            </w:pPr>
            <w:r>
              <w:rPr>
                <w:rFonts w:cs="楷体" w:asciiTheme="minorEastAsia" w:hAnsiTheme="minorEastAsia" w:eastAsiaTheme="minorEastAsia"/>
                <w:color w:val="000000"/>
                <w:kern w:val="0"/>
                <w:sz w:val="20"/>
                <w:szCs w:val="20"/>
              </w:rPr>
              <w:t>4.</w:t>
            </w:r>
            <w:r>
              <w:rPr>
                <w:rFonts w:hint="eastAsia" w:cs="楷体" w:asciiTheme="minorEastAsia" w:hAnsiTheme="minorEastAsia" w:eastAsiaTheme="minorEastAsia"/>
                <w:color w:val="000000"/>
                <w:kern w:val="0"/>
                <w:sz w:val="20"/>
                <w:szCs w:val="20"/>
              </w:rPr>
              <w:t>无正当理由大量反复申请</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r>
      <w:tr>
        <w:tblPrEx>
          <w:tblLayout w:type="fixed"/>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eastAsiaTheme="minorEastAsia"/>
                <w:color w:val="000000"/>
                <w:kern w:val="0"/>
                <w:sz w:val="20"/>
                <w:szCs w:val="20"/>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Theme="minorEastAsia" w:hAnsiTheme="minorEastAsia" w:eastAsiaTheme="minorEastAsia"/>
                <w:color w:val="000000"/>
                <w:kern w:val="0"/>
                <w:sz w:val="20"/>
                <w:szCs w:val="20"/>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Theme="minorEastAsia" w:hAnsiTheme="minorEastAsia" w:eastAsiaTheme="minorEastAsia"/>
                <w:color w:val="000000"/>
                <w:kern w:val="0"/>
                <w:sz w:val="20"/>
                <w:szCs w:val="20"/>
              </w:rPr>
            </w:pPr>
            <w:r>
              <w:rPr>
                <w:rFonts w:cs="楷体" w:asciiTheme="minorEastAsia" w:hAnsiTheme="minorEastAsia" w:eastAsiaTheme="minorEastAsia"/>
                <w:color w:val="000000"/>
                <w:kern w:val="0"/>
                <w:sz w:val="20"/>
                <w:szCs w:val="20"/>
              </w:rPr>
              <w:t>5.</w:t>
            </w:r>
            <w:r>
              <w:rPr>
                <w:rFonts w:hint="eastAsia" w:cs="楷体" w:asciiTheme="minorEastAsia" w:hAnsiTheme="minorEastAsia" w:eastAsiaTheme="minorEastAsia"/>
                <w:color w:val="000000"/>
                <w:kern w:val="0"/>
                <w:sz w:val="20"/>
                <w:szCs w:val="20"/>
              </w:rPr>
              <w:t>要求行政机关确认或重新出具已获取信息</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r>
      <w:tr>
        <w:tblPrEx>
          <w:tblLayout w:type="fixed"/>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eastAsiaTheme="minorEastAsia"/>
                <w:color w:val="000000"/>
                <w:kern w:val="0"/>
                <w:sz w:val="20"/>
                <w:szCs w:val="20"/>
              </w:rPr>
            </w:pPr>
          </w:p>
        </w:tc>
        <w:tc>
          <w:tcPr>
            <w:tcW w:w="2940"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Theme="minorEastAsia" w:hAnsiTheme="minorEastAsia" w:eastAsiaTheme="minorEastAsia"/>
                <w:color w:val="000000"/>
                <w:kern w:val="0"/>
                <w:sz w:val="20"/>
                <w:szCs w:val="20"/>
              </w:rPr>
            </w:pPr>
            <w:r>
              <w:rPr>
                <w:rFonts w:hint="eastAsia" w:cs="楷体" w:asciiTheme="minorEastAsia" w:hAnsiTheme="minorEastAsia" w:eastAsiaTheme="minorEastAsia"/>
                <w:color w:val="000000"/>
                <w:kern w:val="0"/>
                <w:sz w:val="20"/>
                <w:szCs w:val="20"/>
              </w:rPr>
              <w:t>（六）其他处理</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r>
      <w:tr>
        <w:tblPrEx>
          <w:tblLayout w:type="fixed"/>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eastAsiaTheme="minorEastAsia"/>
                <w:color w:val="000000"/>
                <w:kern w:val="0"/>
                <w:sz w:val="20"/>
                <w:szCs w:val="20"/>
              </w:rPr>
            </w:pPr>
          </w:p>
        </w:tc>
        <w:tc>
          <w:tcPr>
            <w:tcW w:w="2940"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Theme="minorEastAsia" w:hAnsiTheme="minorEastAsia" w:eastAsiaTheme="minorEastAsia"/>
                <w:color w:val="000000"/>
                <w:kern w:val="0"/>
                <w:sz w:val="20"/>
                <w:szCs w:val="20"/>
              </w:rPr>
            </w:pPr>
            <w:r>
              <w:rPr>
                <w:rFonts w:hint="eastAsia" w:cs="楷体" w:asciiTheme="minorEastAsia" w:hAnsiTheme="minorEastAsia" w:eastAsiaTheme="minorEastAsia"/>
                <w:color w:val="000000"/>
                <w:kern w:val="0"/>
                <w:sz w:val="20"/>
                <w:szCs w:val="20"/>
              </w:rPr>
              <w:t>（七）总计</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1</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1</w:t>
            </w:r>
          </w:p>
        </w:tc>
      </w:tr>
      <w:tr>
        <w:tblPrEx>
          <w:tblLayout w:type="fixed"/>
          <w:tblCellMar>
            <w:top w:w="15" w:type="dxa"/>
            <w:left w:w="15" w:type="dxa"/>
            <w:bottom w:w="15" w:type="dxa"/>
            <w:right w:w="15" w:type="dxa"/>
          </w:tblCellMar>
        </w:tblPrEx>
        <w:trPr>
          <w:jc w:val="center"/>
        </w:trPr>
        <w:tc>
          <w:tcPr>
            <w:tcW w:w="3557"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四、结转下年度继续办理</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宋体" w:asciiTheme="minorEastAsia" w:hAnsiTheme="minorEastAsia" w:eastAsiaTheme="minorEastAsia"/>
                <w:color w:val="000000"/>
                <w:kern w:val="0"/>
                <w:sz w:val="20"/>
                <w:szCs w:val="20"/>
              </w:rPr>
              <w:t>0</w:t>
            </w:r>
          </w:p>
        </w:tc>
      </w:tr>
    </w:tbl>
    <w:p>
      <w:pPr>
        <w:spacing w:line="560" w:lineRule="exact"/>
        <w:ind w:firstLine="645"/>
        <w:rPr>
          <w:rFonts w:eastAsia="黑体"/>
          <w:sz w:val="32"/>
          <w:szCs w:val="32"/>
        </w:rPr>
      </w:pPr>
      <w:r>
        <w:rPr>
          <w:rFonts w:hint="eastAsia" w:eastAsia="黑体" w:cs="黑体"/>
          <w:sz w:val="32"/>
          <w:szCs w:val="32"/>
        </w:rPr>
        <w:t>五、政府信息公开申请行政复议、行政诉讼情况</w:t>
      </w:r>
    </w:p>
    <w:tbl>
      <w:tblPr>
        <w:tblStyle w:val="8"/>
        <w:tblW w:w="9071" w:type="dxa"/>
        <w:jc w:val="center"/>
        <w:tblInd w:w="0" w:type="dxa"/>
        <w:tblLayout w:type="fixed"/>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Layout w:type="fixed"/>
          <w:tblCellMar>
            <w:top w:w="15" w:type="dxa"/>
            <w:left w:w="15" w:type="dxa"/>
            <w:bottom w:w="15" w:type="dxa"/>
            <w:right w:w="15"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行政诉讼</w:t>
            </w:r>
          </w:p>
        </w:tc>
      </w:tr>
      <w:tr>
        <w:tblPrEx>
          <w:tblLayout w:type="fixed"/>
          <w:tblCellMar>
            <w:top w:w="15" w:type="dxa"/>
            <w:left w:w="15" w:type="dxa"/>
            <w:bottom w:w="15" w:type="dxa"/>
            <w:right w:w="15"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结果维持</w:t>
            </w:r>
          </w:p>
        </w:tc>
        <w:tc>
          <w:tcPr>
            <w:tcW w:w="60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总计</w:t>
            </w:r>
          </w:p>
        </w:tc>
        <w:tc>
          <w:tcPr>
            <w:tcW w:w="2970"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复议后起诉</w:t>
            </w:r>
          </w:p>
        </w:tc>
      </w:tr>
      <w:tr>
        <w:tblPrEx>
          <w:tblLayout w:type="fixed"/>
          <w:tblCellMar>
            <w:top w:w="15" w:type="dxa"/>
            <w:left w:w="15" w:type="dxa"/>
            <w:bottom w:w="15" w:type="dxa"/>
            <w:right w:w="15"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eastAsiaTheme="minorEastAsia"/>
                <w:color w:val="000000"/>
                <w:kern w:val="0"/>
                <w:sz w:val="20"/>
                <w:szCs w:val="20"/>
              </w:rPr>
            </w:pPr>
          </w:p>
        </w:tc>
        <w:tc>
          <w:tcPr>
            <w:tcW w:w="604" w:type="dxa"/>
            <w:vMerge w:val="continue"/>
            <w:tcBorders>
              <w:top w:val="nil"/>
              <w:left w:val="nil"/>
              <w:bottom w:val="single" w:color="auto" w:sz="8" w:space="0"/>
              <w:right w:val="single" w:color="auto" w:sz="8" w:space="0"/>
            </w:tcBorders>
            <w:vAlign w:val="center"/>
          </w:tcPr>
          <w:p>
            <w:pPr>
              <w:widowControl/>
              <w:jc w:val="left"/>
              <w:rPr>
                <w:rFonts w:asciiTheme="minorEastAsia" w:hAnsiTheme="minorEastAsia" w:eastAsiaTheme="minorEastAsia"/>
                <w:color w:val="000000"/>
                <w:kern w:val="0"/>
                <w:sz w:val="20"/>
                <w:szCs w:val="20"/>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Theme="minorEastAsia" w:hAnsiTheme="minorEastAsia" w:eastAsiaTheme="minorEastAsia"/>
                <w:color w:val="000000"/>
                <w:kern w:val="0"/>
                <w:sz w:val="20"/>
                <w:szCs w:val="20"/>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Theme="minorEastAsia" w:hAnsiTheme="minorEastAsia" w:eastAsiaTheme="minorEastAsia"/>
                <w:color w:val="000000"/>
                <w:kern w:val="0"/>
                <w:sz w:val="20"/>
                <w:szCs w:val="20"/>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Theme="minorEastAsia" w:hAnsiTheme="minorEastAsia" w:eastAsiaTheme="minorEastAsia"/>
                <w:color w:val="000000"/>
                <w:kern w:val="0"/>
                <w:sz w:val="20"/>
                <w:szCs w:val="20"/>
              </w:rPr>
            </w:pP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结果维持</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其他结果</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尚未审结</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其他结果</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总计</w:t>
            </w:r>
          </w:p>
        </w:tc>
      </w:tr>
      <w:tr>
        <w:tblPrEx>
          <w:tblLayout w:type="fixed"/>
          <w:tblCellMar>
            <w:top w:w="15" w:type="dxa"/>
            <w:left w:w="15" w:type="dxa"/>
            <w:bottom w:w="15" w:type="dxa"/>
            <w:right w:w="15"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1</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0</w:t>
            </w:r>
          </w:p>
        </w:tc>
        <w:tc>
          <w:tcPr>
            <w:tcW w:w="65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Calibri" w:asciiTheme="minorEastAsia" w:hAnsiTheme="minorEastAsia" w:eastAsiaTheme="minorEastAsia"/>
                <w:color w:val="000000"/>
                <w:kern w:val="0"/>
                <w:sz w:val="20"/>
                <w:szCs w:val="20"/>
              </w:rPr>
              <w:t>1</w:t>
            </w: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宋体" w:asciiTheme="minorEastAsia" w:hAnsiTheme="minorEastAsia" w:eastAsiaTheme="minorEastAsia"/>
                <w:color w:val="000000"/>
                <w:kern w:val="0"/>
                <w:sz w:val="20"/>
                <w:szCs w:val="20"/>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宋体" w:asciiTheme="minorEastAsia" w:hAnsiTheme="minorEastAsia" w:eastAsiaTheme="minorEastAsia"/>
                <w:color w:val="000000"/>
                <w:kern w:val="0"/>
                <w:sz w:val="20"/>
                <w:szCs w:val="20"/>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宋体" w:asciiTheme="minorEastAsia" w:hAnsiTheme="minorEastAsia" w:eastAsiaTheme="minorEastAsia"/>
                <w:color w:val="000000"/>
                <w:kern w:val="0"/>
                <w:sz w:val="20"/>
                <w:szCs w:val="20"/>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宋体" w:asciiTheme="minorEastAsia" w:hAnsiTheme="minorEastAsia" w:eastAsiaTheme="minorEastAsia"/>
                <w:color w:val="000000"/>
                <w:kern w:val="0"/>
                <w:sz w:val="20"/>
                <w:szCs w:val="20"/>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宋体" w:asciiTheme="minorEastAsia" w:hAnsiTheme="minorEastAsia" w:eastAsiaTheme="minorEastAsia"/>
                <w:color w:val="000000"/>
                <w:kern w:val="0"/>
                <w:sz w:val="20"/>
                <w:szCs w:val="20"/>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宋体" w:asciiTheme="minorEastAsia" w:hAnsiTheme="minorEastAsia" w:eastAsiaTheme="minorEastAsia"/>
                <w:color w:val="000000"/>
                <w:kern w:val="0"/>
                <w:sz w:val="20"/>
                <w:szCs w:val="20"/>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宋体" w:asciiTheme="minorEastAsia" w:hAnsiTheme="minorEastAsia" w:eastAsiaTheme="minorEastAsia"/>
                <w:color w:val="000000"/>
                <w:kern w:val="0"/>
                <w:sz w:val="20"/>
                <w:szCs w:val="20"/>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宋体" w:asciiTheme="minorEastAsia" w:hAnsiTheme="minorEastAsia" w:eastAsiaTheme="minorEastAsia"/>
                <w:color w:val="000000"/>
                <w:kern w:val="0"/>
                <w:sz w:val="20"/>
                <w:szCs w:val="20"/>
              </w:rPr>
              <w:t>0</w:t>
            </w: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宋体" w:asciiTheme="minorEastAsia" w:hAnsiTheme="minorEastAsia" w:eastAsiaTheme="minorEastAsia"/>
                <w:color w:val="000000"/>
                <w:kern w:val="0"/>
                <w:sz w:val="20"/>
                <w:szCs w:val="20"/>
              </w:rPr>
              <w:t>0</w:t>
            </w: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Theme="minorEastAsia" w:hAnsiTheme="minorEastAsia" w:eastAsiaTheme="minorEastAsia"/>
                <w:color w:val="000000"/>
                <w:kern w:val="0"/>
                <w:sz w:val="20"/>
                <w:szCs w:val="20"/>
              </w:rPr>
            </w:pPr>
            <w:r>
              <w:rPr>
                <w:rFonts w:cs="宋体" w:asciiTheme="minorEastAsia" w:hAnsiTheme="minorEastAsia" w:eastAsiaTheme="minorEastAsia"/>
                <w:color w:val="000000"/>
                <w:kern w:val="0"/>
                <w:sz w:val="20"/>
                <w:szCs w:val="20"/>
              </w:rPr>
              <w:t>0</w:t>
            </w:r>
          </w:p>
        </w:tc>
      </w:tr>
    </w:tbl>
    <w:p>
      <w:pPr>
        <w:spacing w:line="560" w:lineRule="exact"/>
        <w:ind w:firstLine="645"/>
        <w:rPr>
          <w:rFonts w:eastAsia="黑体"/>
          <w:sz w:val="32"/>
          <w:szCs w:val="32"/>
        </w:rPr>
      </w:pPr>
      <w:r>
        <w:rPr>
          <w:rFonts w:hint="eastAsia" w:eastAsia="黑体" w:cs="黑体"/>
          <w:sz w:val="32"/>
          <w:szCs w:val="32"/>
        </w:rPr>
        <w:t>六、政府信息公开工作存在的主要问题及改进措施</w:t>
      </w:r>
    </w:p>
    <w:p>
      <w:pPr>
        <w:spacing w:line="560" w:lineRule="exact"/>
        <w:ind w:firstLine="640" w:firstLineChars="200"/>
        <w:rPr>
          <w:rFonts w:ascii="仿宋_GB2312" w:eastAsia="仿宋_GB2312"/>
          <w:sz w:val="32"/>
          <w:szCs w:val="32"/>
        </w:rPr>
      </w:pPr>
      <w:r>
        <w:rPr>
          <w:rFonts w:ascii="仿宋_GB2312" w:eastAsia="仿宋_GB2312" w:cs="仿宋_GB2312"/>
          <w:sz w:val="32"/>
          <w:szCs w:val="32"/>
        </w:rPr>
        <w:t>2019</w:t>
      </w:r>
      <w:r>
        <w:rPr>
          <w:rFonts w:hint="eastAsia" w:ascii="仿宋_GB2312" w:eastAsia="仿宋_GB2312" w:cs="仿宋_GB2312"/>
          <w:sz w:val="32"/>
          <w:szCs w:val="32"/>
        </w:rPr>
        <w:t>年，朗霞街道在</w:t>
      </w:r>
      <w:r>
        <w:rPr>
          <w:rFonts w:hint="eastAsia" w:ascii="仿宋_GB2312" w:eastAsia="仿宋_GB2312" w:cs="仿宋_GB2312"/>
          <w:snapToGrid w:val="0"/>
          <w:spacing w:val="-4"/>
          <w:sz w:val="32"/>
          <w:szCs w:val="32"/>
        </w:rPr>
        <w:t>政府信息公开工作中虽取得了一些成绩，</w:t>
      </w:r>
      <w:r>
        <w:rPr>
          <w:rFonts w:hint="eastAsia" w:ascii="仿宋_GB2312" w:eastAsia="仿宋_GB2312" w:cs="仿宋_GB2312"/>
          <w:sz w:val="32"/>
          <w:szCs w:val="32"/>
        </w:rPr>
        <w:t>但对照《条例》和上级政府的要求，以及人民群众的期望，仍存在不少差距，主要表现为：信息公开工作力量较为薄弱</w:t>
      </w:r>
      <w:r>
        <w:rPr>
          <w:rFonts w:hint="eastAsia" w:ascii="仿宋_GB2312" w:eastAsia="仿宋_GB2312" w:cs="仿宋_GB2312"/>
          <w:snapToGrid w:val="0"/>
          <w:spacing w:val="-4"/>
          <w:sz w:val="32"/>
          <w:szCs w:val="32"/>
        </w:rPr>
        <w:t>，平台建设和宣传力度有待加强，各办之间信息公开数量差别较大，政策解读和热点回应有待进一步提升和强化</w:t>
      </w:r>
      <w:r>
        <w:rPr>
          <w:rFonts w:hint="eastAsia" w:ascii="仿宋_GB2312" w:eastAsia="仿宋_GB2312" w:cs="仿宋_GB2312"/>
          <w:sz w:val="32"/>
          <w:szCs w:val="32"/>
        </w:rPr>
        <w:t>。</w:t>
      </w:r>
    </w:p>
    <w:p>
      <w:pPr>
        <w:spacing w:line="560" w:lineRule="exact"/>
        <w:ind w:firstLine="640" w:firstLineChars="200"/>
        <w:rPr>
          <w:rFonts w:ascii="仿宋_GB2312" w:eastAsia="仿宋_GB2312"/>
          <w:sz w:val="32"/>
          <w:szCs w:val="32"/>
        </w:rPr>
      </w:pPr>
      <w:r>
        <w:rPr>
          <w:rFonts w:ascii="仿宋_GB2312" w:eastAsia="仿宋_GB2312" w:cs="仿宋_GB2312"/>
          <w:sz w:val="32"/>
          <w:szCs w:val="32"/>
        </w:rPr>
        <w:t>20</w:t>
      </w:r>
      <w:r>
        <w:rPr>
          <w:rFonts w:hint="eastAsia" w:ascii="仿宋_GB2312" w:eastAsia="仿宋_GB2312" w:cs="仿宋_GB2312"/>
          <w:sz w:val="32"/>
          <w:szCs w:val="32"/>
        </w:rPr>
        <w:t>20年，朗霞街道将坚持以习近平新时代中国特色社会主义思想为指导，按照《条例》和上级政府的相关要求，继续大力推进</w:t>
      </w:r>
      <w:r>
        <w:rPr>
          <w:rFonts w:hint="eastAsia" w:ascii="仿宋_GB2312" w:eastAsia="仿宋_GB2312" w:cs="仿宋_GB2312"/>
          <w:color w:val="000000"/>
          <w:sz w:val="32"/>
          <w:szCs w:val="32"/>
        </w:rPr>
        <w:t>政府信息公开工作，主要做好以下几个方面工作：</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一）强化制度建设，提高工作质量。按照上级要求，着力建设一支与街道经济社会发展水平相适应且质量过硬的政务公开人员队伍，明确各自工作职责，完善相关工作制度，规范操作流程，不断提高朗霞街道政府信息公开工作的质量和水平。</w:t>
      </w:r>
    </w:p>
    <w:p>
      <w:pPr>
        <w:spacing w:line="560" w:lineRule="exact"/>
        <w:ind w:firstLine="640" w:firstLineChars="200"/>
        <w:rPr>
          <w:rFonts w:ascii="仿宋_GB2312" w:eastAsia="仿宋_GB2312"/>
          <w:snapToGrid w:val="0"/>
          <w:spacing w:val="-4"/>
          <w:sz w:val="32"/>
          <w:szCs w:val="32"/>
        </w:rPr>
      </w:pPr>
      <w:r>
        <w:rPr>
          <w:rFonts w:hint="eastAsia" w:ascii="仿宋_GB2312" w:eastAsia="仿宋_GB2312" w:cs="仿宋_GB2312"/>
          <w:sz w:val="32"/>
          <w:szCs w:val="32"/>
        </w:rPr>
        <w:t>（二）加强主动公开，发挥平台作用。结合工作特点，优化调整政府信息公开目录，</w:t>
      </w:r>
      <w:r>
        <w:rPr>
          <w:rFonts w:hint="eastAsia" w:ascii="仿宋_GB2312" w:eastAsia="仿宋_GB2312" w:cs="仿宋_GB2312"/>
          <w:snapToGrid w:val="0"/>
          <w:spacing w:val="-4"/>
          <w:sz w:val="32"/>
          <w:szCs w:val="32"/>
        </w:rPr>
        <w:t>丰富公开内容和形式，突出重点、热点和难点问题，</w:t>
      </w:r>
      <w:r>
        <w:rPr>
          <w:rFonts w:hint="eastAsia" w:ascii="仿宋_GB2312" w:eastAsia="仿宋_GB2312" w:cs="仿宋_GB2312"/>
          <w:sz w:val="32"/>
          <w:szCs w:val="32"/>
        </w:rPr>
        <w:t>加大对各办工作信息的挖掘</w:t>
      </w:r>
      <w:r>
        <w:rPr>
          <w:rFonts w:hint="eastAsia" w:ascii="仿宋_GB2312" w:eastAsia="仿宋_GB2312" w:cs="仿宋_GB2312"/>
          <w:snapToGrid w:val="0"/>
          <w:spacing w:val="-4"/>
          <w:sz w:val="32"/>
          <w:szCs w:val="32"/>
        </w:rPr>
        <w:t>，把人民群众最关心、反应最强烈的信息及时公开，切实发挥好信息公开平台的桥梁作用。</w:t>
      </w:r>
    </w:p>
    <w:p>
      <w:pPr>
        <w:spacing w:line="560" w:lineRule="exact"/>
        <w:ind w:firstLine="624" w:firstLineChars="200"/>
        <w:rPr>
          <w:rFonts w:ascii="仿宋_GB2312" w:eastAsia="仿宋_GB2312"/>
          <w:snapToGrid w:val="0"/>
          <w:spacing w:val="-4"/>
          <w:sz w:val="32"/>
          <w:szCs w:val="32"/>
        </w:rPr>
      </w:pPr>
      <w:r>
        <w:rPr>
          <w:rFonts w:hint="eastAsia" w:ascii="仿宋_GB2312" w:eastAsia="仿宋_GB2312" w:cs="仿宋_GB2312"/>
          <w:snapToGrid w:val="0"/>
          <w:spacing w:val="-4"/>
          <w:sz w:val="32"/>
          <w:szCs w:val="32"/>
        </w:rPr>
        <w:t>（三）</w:t>
      </w:r>
      <w:r>
        <w:rPr>
          <w:rFonts w:hint="eastAsia" w:ascii="仿宋_GB2312" w:eastAsia="仿宋_GB2312" w:cs="仿宋_GB2312"/>
          <w:sz w:val="32"/>
          <w:szCs w:val="32"/>
        </w:rPr>
        <w:t>丰富载体方式，提升公众影响。充分利用政府网站和政务微博微信等新媒体平台，及时公开政府的中心工作、重点工程、办事指南、政策法规及可以公开的政府文件等，使广大群众第一时间了解到政府的工作动态，提高了政务平台的可看性、互动性、实用性，为群众与政府之间构起了一座沟通桥梁。</w:t>
      </w:r>
    </w:p>
    <w:p>
      <w:pPr>
        <w:widowControl/>
        <w:adjustRightInd w:val="0"/>
        <w:snapToGrid w:val="0"/>
        <w:spacing w:line="560" w:lineRule="exact"/>
        <w:ind w:firstLine="624" w:firstLineChars="200"/>
        <w:jc w:val="left"/>
        <w:rPr>
          <w:rFonts w:ascii="仿宋_GB2312" w:eastAsia="仿宋_GB2312"/>
          <w:snapToGrid w:val="0"/>
          <w:spacing w:val="-4"/>
          <w:sz w:val="32"/>
          <w:szCs w:val="32"/>
        </w:rPr>
      </w:pPr>
      <w:r>
        <w:rPr>
          <w:rFonts w:hint="eastAsia" w:ascii="楷体_GB2312" w:hAnsi="??" w:eastAsia="仿宋_GB2312" w:cs="仿宋_GB2312"/>
          <w:snapToGrid w:val="0"/>
          <w:color w:val="000000"/>
          <w:spacing w:val="-4"/>
          <w:sz w:val="32"/>
          <w:szCs w:val="32"/>
        </w:rPr>
        <w:t>（四）注重</w:t>
      </w:r>
      <w:r>
        <w:rPr>
          <w:rFonts w:hint="eastAsia" w:ascii="仿宋_GB2312" w:eastAsia="仿宋_GB2312" w:cs="仿宋_GB2312"/>
          <w:snapToGrid w:val="0"/>
          <w:spacing w:val="-4"/>
          <w:sz w:val="32"/>
          <w:szCs w:val="32"/>
        </w:rPr>
        <w:t>队伍建设</w:t>
      </w:r>
      <w:r>
        <w:rPr>
          <w:rFonts w:hint="eastAsia" w:ascii="仿宋_GB2312" w:eastAsia="仿宋_GB2312" w:cs="仿宋_GB2312"/>
          <w:snapToGrid w:val="0"/>
          <w:color w:val="000000"/>
          <w:spacing w:val="-4"/>
          <w:sz w:val="32"/>
          <w:szCs w:val="32"/>
        </w:rPr>
        <w:t>，提高服务水平。积极组织信息公开队伍参加学习培训，及时掌握政府信息公开的相关要求、方式、程序和责任，并总结交流经验，切实提高工作能力和水平，增强自身紧迫感和责任感，不断提升工作人员的政策把握能力。</w:t>
      </w:r>
    </w:p>
    <w:p>
      <w:pPr>
        <w:spacing w:line="560" w:lineRule="exact"/>
        <w:ind w:firstLine="640" w:firstLineChars="200"/>
        <w:rPr>
          <w:rFonts w:ascii="黑体" w:hAnsi="黑体" w:eastAsia="黑体"/>
          <w:sz w:val="32"/>
          <w:szCs w:val="32"/>
        </w:rPr>
      </w:pPr>
      <w:r>
        <w:rPr>
          <w:rFonts w:hint="eastAsia" w:ascii="黑体" w:hAnsi="黑体" w:eastAsia="黑体" w:cs="黑体"/>
          <w:sz w:val="32"/>
          <w:szCs w:val="32"/>
        </w:rPr>
        <w:t>七、其他需要报告的事项</w:t>
      </w:r>
    </w:p>
    <w:p>
      <w:pPr>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无其他需要报告的事项。</w:t>
      </w:r>
    </w:p>
    <w:p>
      <w:pPr>
        <w:spacing w:line="560" w:lineRule="exact"/>
        <w:ind w:firstLine="640" w:firstLineChars="200"/>
        <w:rPr>
          <w:rFonts w:hint="eastAsia" w:ascii="仿宋_GB2312" w:eastAsia="仿宋_GB2312" w:cs="仿宋_GB2312"/>
          <w:sz w:val="32"/>
          <w:szCs w:val="32"/>
        </w:rPr>
      </w:pPr>
    </w:p>
    <w:p>
      <w:pPr>
        <w:spacing w:line="560" w:lineRule="exact"/>
        <w:ind w:firstLine="640" w:firstLineChars="200"/>
        <w:rPr>
          <w:rFonts w:hint="eastAsia" w:ascii="仿宋_GB2312" w:eastAsia="仿宋_GB2312" w:cs="仿宋_GB2312"/>
          <w:sz w:val="32"/>
          <w:szCs w:val="32"/>
        </w:rPr>
      </w:pPr>
    </w:p>
    <w:p>
      <w:pPr>
        <w:spacing w:line="560" w:lineRule="exact"/>
        <w:ind w:firstLine="640" w:firstLineChars="200"/>
        <w:jc w:val="right"/>
        <w:rPr>
          <w:rFonts w:hint="eastAsia" w:ascii="仿宋_GB2312" w:eastAsia="仿宋_GB2312" w:cs="仿宋_GB2312"/>
          <w:sz w:val="32"/>
          <w:szCs w:val="32"/>
        </w:rPr>
      </w:pPr>
      <w:r>
        <w:rPr>
          <w:rFonts w:hint="eastAsia" w:ascii="仿宋_GB2312" w:eastAsia="仿宋_GB2312" w:cs="仿宋_GB2312"/>
          <w:sz w:val="32"/>
          <w:szCs w:val="32"/>
        </w:rPr>
        <w:t>朗霞街道办事处</w:t>
      </w:r>
    </w:p>
    <w:p>
      <w:pPr>
        <w:spacing w:line="560" w:lineRule="exact"/>
        <w:ind w:firstLine="640" w:firstLineChars="200"/>
        <w:jc w:val="right"/>
        <w:rPr>
          <w:rFonts w:hint="eastAsia" w:ascii="仿宋_GB2312" w:eastAsia="仿宋_GB2312"/>
          <w:sz w:val="32"/>
          <w:szCs w:val="32"/>
          <w:lang w:val="en-US" w:eastAsia="zh-CN"/>
        </w:rPr>
      </w:pPr>
      <w:r>
        <w:rPr>
          <w:rFonts w:hint="eastAsia" w:ascii="仿宋_GB2312" w:eastAsia="仿宋_GB2312" w:cs="仿宋_GB2312"/>
          <w:sz w:val="32"/>
          <w:szCs w:val="32"/>
        </w:rPr>
        <w:t>2020年1月</w:t>
      </w:r>
      <w:r>
        <w:rPr>
          <w:rFonts w:hint="eastAsia" w:ascii="仿宋_GB2312" w:eastAsia="仿宋_GB2312"/>
          <w:sz w:val="32"/>
          <w:szCs w:val="32"/>
          <w:lang w:val="en-US" w:eastAsia="zh-CN"/>
        </w:rPr>
        <w:t>20日</w:t>
      </w:r>
      <w:bookmarkStart w:id="0" w:name="_GoBack"/>
      <w:bookmarkEnd w:id="0"/>
    </w:p>
    <w:sectPr>
      <w:pgSz w:w="11906" w:h="16838"/>
      <w:pgMar w:top="1588" w:right="1588"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0125"/>
    <w:rsid w:val="000204F2"/>
    <w:rsid w:val="000B07D1"/>
    <w:rsid w:val="00114272"/>
    <w:rsid w:val="001156D3"/>
    <w:rsid w:val="0013455F"/>
    <w:rsid w:val="00145476"/>
    <w:rsid w:val="001747B7"/>
    <w:rsid w:val="00183CF1"/>
    <w:rsid w:val="0019418E"/>
    <w:rsid w:val="001A11A5"/>
    <w:rsid w:val="001A1BAF"/>
    <w:rsid w:val="001B48D8"/>
    <w:rsid w:val="001B54F7"/>
    <w:rsid w:val="002208D9"/>
    <w:rsid w:val="002226DB"/>
    <w:rsid w:val="00225CB8"/>
    <w:rsid w:val="002712E4"/>
    <w:rsid w:val="00286C91"/>
    <w:rsid w:val="002A7B6F"/>
    <w:rsid w:val="002C4F17"/>
    <w:rsid w:val="00301CBF"/>
    <w:rsid w:val="00343ADE"/>
    <w:rsid w:val="00353E68"/>
    <w:rsid w:val="00361745"/>
    <w:rsid w:val="003906BA"/>
    <w:rsid w:val="003945C9"/>
    <w:rsid w:val="003E594F"/>
    <w:rsid w:val="0040633C"/>
    <w:rsid w:val="00422801"/>
    <w:rsid w:val="00423643"/>
    <w:rsid w:val="004822ED"/>
    <w:rsid w:val="00486F21"/>
    <w:rsid w:val="004958FD"/>
    <w:rsid w:val="0049627B"/>
    <w:rsid w:val="004D4B39"/>
    <w:rsid w:val="00523127"/>
    <w:rsid w:val="005268FC"/>
    <w:rsid w:val="00592E79"/>
    <w:rsid w:val="006013B6"/>
    <w:rsid w:val="00602EB5"/>
    <w:rsid w:val="00613FE0"/>
    <w:rsid w:val="006263F9"/>
    <w:rsid w:val="00696A9E"/>
    <w:rsid w:val="00701D19"/>
    <w:rsid w:val="00704112"/>
    <w:rsid w:val="007062FC"/>
    <w:rsid w:val="00712F77"/>
    <w:rsid w:val="00714EF6"/>
    <w:rsid w:val="00760125"/>
    <w:rsid w:val="00786AF2"/>
    <w:rsid w:val="007931B3"/>
    <w:rsid w:val="00797230"/>
    <w:rsid w:val="007D4558"/>
    <w:rsid w:val="00805772"/>
    <w:rsid w:val="00852794"/>
    <w:rsid w:val="00880A3F"/>
    <w:rsid w:val="008865A4"/>
    <w:rsid w:val="008967AE"/>
    <w:rsid w:val="008A16EA"/>
    <w:rsid w:val="008C3225"/>
    <w:rsid w:val="008E0FB3"/>
    <w:rsid w:val="008E6305"/>
    <w:rsid w:val="008F2A73"/>
    <w:rsid w:val="008F341F"/>
    <w:rsid w:val="009626CB"/>
    <w:rsid w:val="0098068B"/>
    <w:rsid w:val="009B1B37"/>
    <w:rsid w:val="009B66C7"/>
    <w:rsid w:val="009B672F"/>
    <w:rsid w:val="009E72BB"/>
    <w:rsid w:val="00A06950"/>
    <w:rsid w:val="00A36C6B"/>
    <w:rsid w:val="00A57469"/>
    <w:rsid w:val="00A71A74"/>
    <w:rsid w:val="00A75E9C"/>
    <w:rsid w:val="00AA1A34"/>
    <w:rsid w:val="00AA6251"/>
    <w:rsid w:val="00AA710D"/>
    <w:rsid w:val="00AC4FDE"/>
    <w:rsid w:val="00AC57B0"/>
    <w:rsid w:val="00AE30F3"/>
    <w:rsid w:val="00B04763"/>
    <w:rsid w:val="00B125C2"/>
    <w:rsid w:val="00B82053"/>
    <w:rsid w:val="00BC1760"/>
    <w:rsid w:val="00BD43A6"/>
    <w:rsid w:val="00BE2722"/>
    <w:rsid w:val="00BF2F48"/>
    <w:rsid w:val="00C06F79"/>
    <w:rsid w:val="00C1387F"/>
    <w:rsid w:val="00C15623"/>
    <w:rsid w:val="00C33A6F"/>
    <w:rsid w:val="00C353CC"/>
    <w:rsid w:val="00C53D15"/>
    <w:rsid w:val="00C6457C"/>
    <w:rsid w:val="00C83336"/>
    <w:rsid w:val="00CA3C61"/>
    <w:rsid w:val="00D02F87"/>
    <w:rsid w:val="00D113CC"/>
    <w:rsid w:val="00D24EFA"/>
    <w:rsid w:val="00D32A40"/>
    <w:rsid w:val="00D373B2"/>
    <w:rsid w:val="00D54349"/>
    <w:rsid w:val="00D65156"/>
    <w:rsid w:val="00D838F9"/>
    <w:rsid w:val="00D958B4"/>
    <w:rsid w:val="00DA4B4F"/>
    <w:rsid w:val="00DB12D2"/>
    <w:rsid w:val="00DB6D4F"/>
    <w:rsid w:val="00DC191A"/>
    <w:rsid w:val="00DD191F"/>
    <w:rsid w:val="00DE01F7"/>
    <w:rsid w:val="00E47685"/>
    <w:rsid w:val="00E61998"/>
    <w:rsid w:val="00E65EF5"/>
    <w:rsid w:val="00E815B3"/>
    <w:rsid w:val="00EA01D1"/>
    <w:rsid w:val="00EB1502"/>
    <w:rsid w:val="00EF2CBA"/>
    <w:rsid w:val="00F07393"/>
    <w:rsid w:val="00F37A77"/>
    <w:rsid w:val="00F61C50"/>
    <w:rsid w:val="00F62FCF"/>
    <w:rsid w:val="00F8339F"/>
    <w:rsid w:val="00F864F7"/>
    <w:rsid w:val="00F92B86"/>
    <w:rsid w:val="00FB29DD"/>
    <w:rsid w:val="00FC3A67"/>
    <w:rsid w:val="00FF3B99"/>
    <w:rsid w:val="00FF4D26"/>
    <w:rsid w:val="11413D3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iPriority w:val="99"/>
    <w:pPr>
      <w:tabs>
        <w:tab w:val="center" w:pos="4153"/>
        <w:tab w:val="right" w:pos="8306"/>
      </w:tabs>
      <w:snapToGrid w:val="0"/>
      <w:jc w:val="left"/>
    </w:pPr>
    <w:rPr>
      <w:rFonts w:ascii="Calibri" w:hAnsi="Calibri" w:cs="Calibri"/>
      <w:sz w:val="18"/>
      <w:szCs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styleId="6">
    <w:name w:val="FollowedHyperlink"/>
    <w:basedOn w:val="5"/>
    <w:semiHidden/>
    <w:uiPriority w:val="99"/>
    <w:rPr>
      <w:color w:val="800080"/>
      <w:u w:val="single"/>
    </w:rPr>
  </w:style>
  <w:style w:type="character" w:styleId="7">
    <w:name w:val="Hyperlink"/>
    <w:basedOn w:val="5"/>
    <w:uiPriority w:val="99"/>
    <w:rPr>
      <w:color w:val="0000FF"/>
      <w:u w:val="single"/>
    </w:rPr>
  </w:style>
  <w:style w:type="character" w:customStyle="1" w:styleId="9">
    <w:name w:val="页眉 Char"/>
    <w:basedOn w:val="5"/>
    <w:link w:val="3"/>
    <w:semiHidden/>
    <w:locked/>
    <w:uiPriority w:val="99"/>
    <w:rPr>
      <w:sz w:val="18"/>
      <w:szCs w:val="18"/>
    </w:rPr>
  </w:style>
  <w:style w:type="character" w:customStyle="1" w:styleId="10">
    <w:name w:val="页脚 Char"/>
    <w:basedOn w:val="5"/>
    <w:link w:val="2"/>
    <w:semiHidden/>
    <w:locked/>
    <w:uiPriority w:val="99"/>
    <w:rPr>
      <w:sz w:val="18"/>
      <w:szCs w:val="18"/>
    </w:rPr>
  </w:style>
  <w:style w:type="paragraph" w:customStyle="1" w:styleId="11">
    <w:name w:val="Char Char Char Char Char Char Char Char Char Char Char Char"/>
    <w:basedOn w:val="1"/>
    <w:uiPriority w:val="99"/>
    <w:rPr>
      <w:rFonts w:ascii="宋体" w:hAnsi="宋体" w:cs="宋体"/>
      <w:sz w:val="24"/>
      <w:szCs w:val="24"/>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549</Words>
  <Characters>3133</Characters>
  <Lines>26</Lines>
  <Paragraphs>7</Paragraphs>
  <TotalTime>694</TotalTime>
  <ScaleCrop>false</ScaleCrop>
  <LinksUpToDate>false</LinksUpToDate>
  <CharactersWithSpaces>3675</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2019-03-13T07:51:00Z</dcterms:created>
  <dc:creator>User</dc:creator>
  <cp:lastModifiedBy>Administrator</cp:lastModifiedBy>
  <cp:lastPrinted>2019-03-18T05:58:00Z</cp:lastPrinted>
  <dcterms:modified xsi:type="dcterms:W3CDTF">2020-04-21T01:44:32Z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