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spacing w:after="0"/>
        <w:ind w:firstLine="0"/>
        <w:jc w:val="right"/>
        <w:rPr>
          <w:rFonts w:hint="eastAsia"/>
          <w:w w:val="80"/>
          <w:sz w:val="32"/>
        </w:rPr>
      </w:pPr>
      <w:r>
        <w:rPr>
          <w:rFonts w:hint="eastAsia" w:ascii="黑体" w:eastAsia="黑体"/>
          <w:sz w:val="32"/>
          <w:szCs w:val="32"/>
        </w:rPr>
        <w:tab/>
      </w:r>
      <w:r>
        <w:rPr>
          <w:rFonts w:hint="eastAsia" w:ascii="黑体" w:eastAsia="黑体"/>
          <w:sz w:val="32"/>
          <w:szCs w:val="32"/>
        </w:rPr>
        <w:t xml:space="preserve"> </w:t>
      </w:r>
      <w:bookmarkStart w:id="0" w:name="secret_level"/>
      <w:r>
        <w:rPr>
          <w:rFonts w:hint="eastAsia" w:ascii="黑体" w:eastAsia="黑体"/>
          <w:sz w:val="32"/>
          <w:szCs w:val="32"/>
        </w:rPr>
        <w:t xml:space="preserve">  </w:t>
      </w:r>
      <w:bookmarkEnd w:id="0"/>
      <w:r>
        <w:rPr>
          <w:rFonts w:hint="eastAsia" w:ascii="黑体" w:eastAsia="黑体"/>
          <w:sz w:val="32"/>
          <w:szCs w:val="32"/>
        </w:rPr>
        <w:t xml:space="preserve"> </w:t>
      </w:r>
      <w:bookmarkStart w:id="1" w:name="secret_deadline"/>
      <w:r>
        <w:rPr>
          <w:rFonts w:hint="eastAsia" w:ascii="黑体" w:eastAsia="黑体"/>
          <w:sz w:val="32"/>
          <w:szCs w:val="32"/>
        </w:rPr>
        <w:t xml:space="preserve">  </w:t>
      </w:r>
      <w:bookmarkEnd w:id="1"/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/>
        </w:rPr>
        <w:t xml:space="preserve">     </w:t>
      </w:r>
      <w:bookmarkStart w:id="2" w:name="urgent_degree"/>
      <w:r>
        <w:rPr>
          <w:rFonts w:hint="eastAsia"/>
          <w:sz w:val="32"/>
        </w:rPr>
        <w:t xml:space="preserve">  </w:t>
      </w:r>
      <w:bookmarkEnd w:id="2"/>
    </w:p>
    <w:p>
      <w:pPr>
        <w:spacing w:line="240" w:lineRule="exact"/>
        <w:ind w:right="-250"/>
        <w:rPr>
          <w:rFonts w:hint="eastAsia" w:ascii="宋体" w:hAnsi="宋体"/>
          <w:b/>
          <w:bCs/>
          <w:color w:val="FF0000"/>
          <w:spacing w:val="20"/>
          <w:w w:val="80"/>
          <w:sz w:val="36"/>
          <w:szCs w:val="36"/>
        </w:rPr>
      </w:pPr>
    </w:p>
    <w:p>
      <w:pPr>
        <w:spacing w:line="240" w:lineRule="exact"/>
        <w:ind w:right="-250"/>
        <w:rPr>
          <w:rFonts w:hint="eastAsia" w:ascii="宋体" w:hAnsi="宋体"/>
          <w:b/>
          <w:bCs/>
          <w:color w:val="FF0000"/>
          <w:spacing w:val="20"/>
          <w:w w:val="80"/>
          <w:sz w:val="36"/>
          <w:szCs w:val="36"/>
        </w:rPr>
      </w:pPr>
    </w:p>
    <w:p>
      <w:pPr>
        <w:spacing w:line="240" w:lineRule="exact"/>
        <w:ind w:right="-250"/>
        <w:rPr>
          <w:rFonts w:hint="eastAsia" w:ascii="宋体" w:hAnsi="宋体"/>
          <w:b/>
          <w:bCs/>
          <w:color w:val="FF0000"/>
          <w:spacing w:val="20"/>
          <w:w w:val="80"/>
          <w:sz w:val="36"/>
          <w:szCs w:val="36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93345</wp:posOffset>
            </wp:positionV>
            <wp:extent cx="5629275" cy="714375"/>
            <wp:effectExtent l="0" t="0" r="9525" b="9525"/>
            <wp:wrapNone/>
            <wp:docPr id="3" name="图片 2" descr="余姚市经济和信息化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余姚市经济和信息化局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exact"/>
        <w:rPr>
          <w:rFonts w:hint="eastAsia" w:ascii="宋体" w:hAnsi="宋体"/>
          <w:b/>
          <w:bCs/>
          <w:color w:val="FF0000"/>
          <w:spacing w:val="20"/>
          <w:w w:val="80"/>
          <w:sz w:val="36"/>
          <w:szCs w:val="36"/>
        </w:rPr>
      </w:pPr>
    </w:p>
    <w:p>
      <w:pPr>
        <w:spacing w:line="240" w:lineRule="exact"/>
        <w:rPr>
          <w:rFonts w:hint="eastAsia" w:ascii="宋体" w:hAnsi="宋体"/>
          <w:b/>
          <w:bCs/>
          <w:color w:val="FF0000"/>
          <w:spacing w:val="20"/>
          <w:w w:val="80"/>
          <w:sz w:val="36"/>
          <w:szCs w:val="36"/>
        </w:rPr>
      </w:pPr>
    </w:p>
    <w:p>
      <w:pPr>
        <w:spacing w:line="240" w:lineRule="exact"/>
        <w:rPr>
          <w:rFonts w:hint="eastAsia" w:ascii="宋体" w:hAnsi="宋体"/>
          <w:b/>
          <w:bCs/>
          <w:color w:val="FF0000"/>
          <w:spacing w:val="20"/>
          <w:w w:val="80"/>
          <w:sz w:val="36"/>
          <w:szCs w:val="36"/>
        </w:rPr>
      </w:pPr>
    </w:p>
    <w:p>
      <w:pPr>
        <w:ind w:right="-250" w:rightChars="-119"/>
        <w:jc w:val="center"/>
        <w:rPr>
          <w:rFonts w:hint="eastAsia" w:ascii="宋体" w:hAnsi="宋体"/>
          <w:w w:val="66"/>
          <w:sz w:val="28"/>
          <w:szCs w:val="28"/>
        </w:rPr>
      </w:pPr>
    </w:p>
    <w:p>
      <w:pPr>
        <w:spacing w:line="360" w:lineRule="exact"/>
        <w:jc w:val="center"/>
        <w:rPr>
          <w:rFonts w:hint="eastAsia" w:ascii="宋体" w:hAnsi="宋体"/>
          <w:w w:val="66"/>
          <w:sz w:val="24"/>
        </w:rPr>
      </w:pPr>
      <w:bookmarkStart w:id="6" w:name="_GoBack"/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214630</wp:posOffset>
                </wp:positionV>
                <wp:extent cx="5600700" cy="0"/>
                <wp:effectExtent l="0" t="13970" r="0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25pt;margin-top:16.9pt;height:0pt;width:441pt;z-index:251660288;mso-width-relative:page;mso-height-relative:page;" coordsize="21600,21600" o:gfxdata="UEsDBAoAAAAAAIdO4kAAAAAAAAAAAAAAAAAEAAAAZHJzL1BLAwQUAAAACACHTuJAuO+9EdMAAAAI&#10;AQAADwAAAGRycy9kb3ducmV2LnhtbE1PyU7DMBC9I/UfrKnEjTpNAYUQp2oR3JAQYenVjYc4ajyO&#10;YjdN/55BHOD4Fr2lWE+uEyMOofWkYLlIQCDV3rTUKHh/e7rKQISoyejOEyo4Y4B1ObsodG78iV5x&#10;rGIjOIRCrhXYGPtcylBbdDosfI/E2pcfnI4Mh0aaQZ843HUyTZJb6XRL3GB1jw8W60N1dAqmz2xj&#10;d89x++g/Xuxh2lVuTM9KXc6XyT2IiFP8M8PPfJ4OJW/a+yOZIDrG6Q07FaxW/ID17O6aif0vIctC&#10;/j9QfgNQSwMEFAAAAAgAh07iQJudXEjcAQAAlwMAAA4AAABkcnMvZTJvRG9jLnhtbK1TzW4TMRC+&#10;I/EOlu9kN5HSVqtseiCEC4JKhQeY2N5dS/6Tx80mL8ELIHGDE0fuvA3tYzB20pSWC0LkMBl7xp+/&#10;7/Ps4nJnDduqiNq7lk8nNWfKCS+161v+4f36xQVnmMBJMN6plu8V8svl82eLMTRq5gdvpIqMQBw2&#10;Y2j5kFJoqgrFoCzgxAflqNj5aCHRMvaVjDASujXVrK7PqtFHGaIXCpF2V4ciXxb8rlMives6VImZ&#10;lhO3VGIscZNjtVxA00cIgxZHGvAPLCxoR5eeoFaQgN1E/QeU1SJ69F2aCG8r33VaqKKB1EzrJ2qu&#10;BwiqaCFzMJxswv8HK95uryLTsuUzzhxYeqLbT99/fvxy9+MzxdtvX9ksmzQGbKj3OlzF4wopzYp3&#10;XbT5n7SwXTF2fzJW7RITtDk/q+vzmvwX97Xq4WCImF4rb1lOWm60y5qhge0bTHQZtd635G3j2Ehs&#10;L+bnc8IDmpnOQKLUBlKBri+H0Rst19qYfARjv3lpItsCTcF6XdMvayLgR235lhXgcOgrpcN8DArk&#10;KydZ2gfyx9Eg88zBKsmZUTT3OSNAaBJo8zeddLVxxCDbejAyZxsv9/QaNyHqfiArpoVlrtDrF77H&#10;Sc3j9fu6ID18T8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O+9EdMAAAAIAQAADwAAAAAAAAAB&#10;ACAAAAAiAAAAZHJzL2Rvd25yZXYueG1sUEsBAhQAFAAAAAgAh07iQJudXEjcAQAAlwMAAA4AAAAA&#10;AAAAAQAgAAAAIgEAAGRycy9lMm9Eb2MueG1sUEsFBgAAAAAGAAYAWQEAAHAFAAAAAA==&#10;">
                <v:path arrowok="t"/>
                <v:fill focussize="0,0"/>
                <v:stroke weight="2.25pt" color="#FF0000"/>
                <v:imagedata o:title=""/>
                <o:lock v:ext="edit"/>
              </v:line>
            </w:pict>
          </mc:Fallback>
        </mc:AlternateContent>
      </w:r>
      <w:bookmarkEnd w:id="6"/>
    </w:p>
    <w:p>
      <w:pPr>
        <w:spacing w:line="360" w:lineRule="exact"/>
        <w:rPr>
          <w:rFonts w:hint="eastAsia" w:ascii="宋体" w:hAnsi="宋体"/>
          <w:w w:val="66"/>
          <w:sz w:val="24"/>
        </w:rPr>
      </w:pPr>
    </w:p>
    <w:p>
      <w:pPr>
        <w:spacing w:line="240" w:lineRule="exact"/>
        <w:rPr>
          <w:rFonts w:hint="eastAsia" w:ascii="宋体" w:hAnsi="宋体"/>
          <w:w w:val="66"/>
          <w:sz w:val="24"/>
        </w:rPr>
      </w:pPr>
    </w:p>
    <w:p>
      <w:pPr>
        <w:spacing w:line="400" w:lineRule="exact"/>
        <w:jc w:val="right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 xml:space="preserve">    </w:t>
      </w:r>
      <w:bookmarkStart w:id="3" w:name="issue_num"/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余经信便笺〔2021〕1</w:t>
      </w:r>
      <w:bookmarkEnd w:id="3"/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号</w:t>
      </w:r>
    </w:p>
    <w:p>
      <w:pPr>
        <w:spacing w:line="60" w:lineRule="exact"/>
        <w:jc w:val="center"/>
        <w:rPr>
          <w:rFonts w:hint="eastAsia" w:ascii="方正小标宋简体" w:eastAsia="方正小标宋简体"/>
          <w:snapToGrid w:val="0"/>
          <w:color w:val="FF0000"/>
          <w:sz w:val="18"/>
          <w:szCs w:val="18"/>
          <w:u w:val="thick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36"/>
        </w:rPr>
        <w:t xml:space="preserve">  </w:t>
      </w: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   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bookmarkStart w:id="4" w:name="title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关于转发《宁波市经信局关于组织申报2021年度宁波市优质产品推荐目录的通知》的通知</w:t>
      </w:r>
      <w:bookmarkEnd w:id="4"/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z w:val="32"/>
          <w:lang w:eastAsia="zh-CN"/>
        </w:rPr>
      </w:pPr>
      <w:bookmarkStart w:id="5" w:name="main_send"/>
      <w:r>
        <w:rPr>
          <w:rFonts w:hint="eastAsia" w:ascii="仿宋_GB2312" w:hAnsi="仿宋_GB2312" w:eastAsia="仿宋_GB2312"/>
          <w:sz w:val="32"/>
          <w:lang w:eastAsia="zh-CN"/>
        </w:rPr>
        <w:t>各乡镇（街道）发展服务办、经济开发区管委会企业服务科、中意宁波生态园经济发展服务科</w:t>
      </w:r>
      <w:bookmarkEnd w:id="5"/>
      <w:r>
        <w:rPr>
          <w:rFonts w:hint="eastAsia" w:ascii="仿宋_GB2312" w:hAnsi="仿宋_GB2312" w:eastAsia="仿宋_GB2312"/>
          <w:sz w:val="32"/>
          <w:lang w:eastAsia="zh-CN"/>
        </w:rPr>
        <w:t>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现转发《</w:t>
      </w:r>
      <w:r>
        <w:rPr>
          <w:rFonts w:hint="eastAsia" w:ascii="仿宋_GB2312" w:eastAsia="仿宋_GB2312"/>
          <w:sz w:val="32"/>
          <w:szCs w:val="32"/>
        </w:rPr>
        <w:t>宁波市经信局关于组织申报202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年度宁波市优质产品推荐目录的通知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》，请通知相关企业按要求积极申报。申报截止时间为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1月21日，联系人：余姚市经信局行业管理科  黎盈盈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"mailto:电话62831316，13858213008，邮箱305285800@qq.com。"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电话62831688，18058548737，邮箱635060747@qq.com。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附件:《</w:t>
      </w:r>
      <w:r>
        <w:rPr>
          <w:rFonts w:hint="eastAsia" w:ascii="仿宋_GB2312" w:eastAsia="仿宋_GB2312"/>
          <w:sz w:val="32"/>
          <w:szCs w:val="32"/>
        </w:rPr>
        <w:t>宁波市经信局关于组织申报202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年度宁波市优质产品推荐目录的通知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甬经信服新〔202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余姚市经济和信息化局</w:t>
      </w:r>
    </w:p>
    <w:p>
      <w:pPr>
        <w:spacing w:line="58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2021年1月14日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4672330</wp:posOffset>
            </wp:positionH>
            <wp:positionV relativeFrom="page">
              <wp:posOffset>3010535</wp:posOffset>
            </wp:positionV>
            <wp:extent cx="1619250" cy="1619250"/>
            <wp:effectExtent l="0" t="0" r="0" b="0"/>
            <wp:wrapNone/>
            <wp:docPr id="1" name="图片 4" descr="45m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45mmSeal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附件：</w:t>
      </w:r>
    </w:p>
    <w:p>
      <w:pPr>
        <w:rPr>
          <w:rFonts w:hint="eastAsia"/>
        </w:rPr>
      </w:pP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126" w:type="dxa"/>
            <w:tcBorders>
              <w:top w:val="nil"/>
            </w:tcBorders>
            <w:noWrap w:val="0"/>
            <w:vAlign w:val="top"/>
          </w:tcPr>
          <w:p>
            <w:pPr>
              <w:spacing w:line="1200" w:lineRule="exact"/>
              <w:jc w:val="distribute"/>
              <w:rPr>
                <w:rFonts w:hint="eastAsia" w:ascii="方正小标宋简体" w:hAnsi="方正小标宋简体" w:eastAsia="方正小标宋简体" w:cs="方正小标宋简体"/>
                <w:color w:val="FF0000"/>
                <w:spacing w:val="-20"/>
                <w:w w:val="90"/>
                <w:kern w:val="0"/>
                <w:sz w:val="84"/>
                <w:szCs w:val="8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20"/>
                <w:w w:val="90"/>
                <w:sz w:val="84"/>
                <w:szCs w:val="84"/>
              </w:rPr>
              <w:t>宁波市经济和信息化局文件</w:t>
            </w:r>
          </w:p>
        </w:tc>
      </w:tr>
    </w:tbl>
    <w:p>
      <w:pPr>
        <w:spacing w:after="72" w:afterLines="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72" w:afterLines="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72" w:afterLines="3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甬经信服新〔</w:t>
      </w:r>
      <w:r>
        <w:rPr>
          <w:rFonts w:hint="eastAsia" w:ascii="仿宋_GB2312" w:hAnsi="宋体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〕24号</w:t>
      </w:r>
    </w:p>
    <w:p>
      <w:pPr>
        <w:pBdr>
          <w:bottom w:val="single" w:color="FF0000" w:sz="12" w:space="1"/>
        </w:pBdr>
        <w:spacing w:line="20" w:lineRule="exact"/>
        <w:ind w:firstLine="160" w:firstLineChars="50"/>
        <w:jc w:val="left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宁波市经济和信息化局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关于组织申报2021年度宁波市优质产品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推荐目录的通知</w:t>
      </w:r>
    </w:p>
    <w:p>
      <w:pPr>
        <w:spacing w:line="560" w:lineRule="exact"/>
        <w:rPr>
          <w:rFonts w:ascii="仿宋_GB2312" w:eastAsia="仿宋_GB2312"/>
          <w:sz w:val="2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各区县（市）经信局，各管委会经信部门：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为贯彻落实《关于加快推进制造业高质量发展的实施意见》</w:t>
      </w:r>
      <w:r>
        <w:rPr>
          <w:rFonts w:hint="eastAsia" w:ascii="仿宋_GB2312" w:hAnsi="楷体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甬政办发</w:t>
      </w:r>
      <w:r>
        <w:rPr>
          <w:rFonts w:hint="eastAsia" w:ascii="仿宋_GB2312" w:hAnsi="楷体" w:eastAsia="仿宋_GB2312"/>
          <w:sz w:val="32"/>
          <w:szCs w:val="32"/>
        </w:rPr>
        <w:t>〔</w:t>
      </w:r>
      <w:r>
        <w:rPr>
          <w:rFonts w:ascii="仿宋_GB2312" w:hAnsi="楷体" w:eastAsia="仿宋_GB2312"/>
          <w:sz w:val="32"/>
          <w:szCs w:val="32"/>
        </w:rPr>
        <w:t>2020</w:t>
      </w:r>
      <w:r>
        <w:rPr>
          <w:rFonts w:hint="eastAsia" w:ascii="仿宋_GB2312" w:hAnsi="楷体" w:eastAsia="仿宋_GB2312"/>
          <w:sz w:val="32"/>
          <w:szCs w:val="32"/>
        </w:rPr>
        <w:t>〕7</w:t>
      </w:r>
      <w:r>
        <w:rPr>
          <w:rFonts w:ascii="仿宋_GB2312" w:hAnsi="楷体" w:eastAsia="仿宋_GB2312"/>
          <w:sz w:val="32"/>
          <w:szCs w:val="32"/>
        </w:rPr>
        <w:t>2</w:t>
      </w:r>
      <w:r>
        <w:rPr>
          <w:rFonts w:hint="eastAsia" w:ascii="仿宋_GB2312" w:hAnsi="楷体" w:eastAsia="仿宋_GB2312"/>
          <w:sz w:val="32"/>
          <w:szCs w:val="32"/>
        </w:rPr>
        <w:t>号）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支持我市优质产品生产企业</w:t>
      </w:r>
      <w:r>
        <w:rPr>
          <w:rFonts w:hint="eastAsia" w:ascii="仿宋_GB2312" w:eastAsia="仿宋_GB2312"/>
          <w:sz w:val="32"/>
          <w:szCs w:val="32"/>
        </w:rPr>
        <w:t>拓市场稳增长，我局拟编制《202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年度宁波市优质产品推荐目录》，现将有关事项通知如下：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一、申报企业条件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1.在宁波市行政区域注册，具有独立法人资格的</w:t>
      </w:r>
      <w:r>
        <w:rPr>
          <w:rFonts w:hint="eastAsia" w:ascii="仿宋_GB2312" w:eastAsia="仿宋_GB2312"/>
          <w:color w:val="000000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2.企业已正常运营3年以上，管理规范、信用记录良好，具有独立承担民事责任的能力；两年内无重大安全、环保、卫生、劳动、纳税、信贷、质量、知识产权等不良记录；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3.推荐目录的有效期为一年，上年度已列入推荐目录的企业，本次需重新申报。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二、申报产品条件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申报产品所属行业主要为电气、建材、智能化装备、纺织服装、家具、文体用品、金属制品、电子产品、仪器仪表、医疗器械、交通运输设备等，产品由政府职能部门认定（评定），符合以下条件之一：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1.“中国驰名商标”企业</w:t>
      </w:r>
      <w:r>
        <w:rPr>
          <w:rFonts w:hint="eastAsia" w:ascii="仿宋_GB2312" w:eastAsia="仿宋_GB2312"/>
          <w:sz w:val="32"/>
          <w:szCs w:val="32"/>
        </w:rPr>
        <w:t>所生产</w:t>
      </w:r>
      <w:r>
        <w:rPr>
          <w:rFonts w:ascii="仿宋_GB2312" w:eastAsia="仿宋_GB2312"/>
          <w:sz w:val="32"/>
          <w:szCs w:val="32"/>
        </w:rPr>
        <w:t>的主导产品、“品字标”产品、浙江制造精品；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市自主创新产品；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3.市级及以上首台（套）首批次首版次产品；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.市级及以上重点工业新产品；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市千百亿级龙头企业、单项冠军企业，省“雄鹰行动”培育企业、专精特新“小巨人”企业等所生产的主导产品；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6.由所在地经信局（经发局）审核同意，并推荐上报的行业内技术领先、具有引导作用的创新产品（须由推荐部门负责人签字）。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三、申报程序</w:t>
      </w:r>
    </w:p>
    <w:p>
      <w:pPr>
        <w:spacing w:line="560" w:lineRule="exact"/>
        <w:ind w:firstLine="640" w:firstLineChars="200"/>
        <w:rPr>
          <w:rFonts w:ascii="创艺简标宋" w:eastAsia="创艺简标宋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1.符合条件的企业填写《202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年度宁波市优质产品推荐申报表》（详见附件1），并提供其他能体现产品竞争能力的相关资料；将纸质及电子版资料报企业所在地区县（市）经信局审核；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2.各区县（市）经信部门对企业申报情况进行初审并汇总（详见附件2），以正式文件形式上报我局（需附企业《申报表》原件）；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3.我局对各地上报推荐产品，征求行业部门、协会意见后进行择优甄选，并在我局网站进行公示；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4.公示结束后，根据反馈情况进行修正，正式发文公布《202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年度宁波市优质产品推荐目录》，并向国有投资项目和政府采购项目建设单位和设计单位等进行推荐。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四、有关要求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1.请各单位接到通知后，按照要求及时组织企业申报，对申报材料，要严格审查把关并建档备查。审核汇总后（并附企业《申报表》原件）于202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年1月25日（周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）前将正式行文报送至我局生产服务业与新兴产业处，以便编制工作顺利开展。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2.申报材料真实性将纳入企业诚信评定并备档，由申报企业负责。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3.各地经信部门具体联系人信息见附件3。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年度宁波市优质产品推荐申报表</w:t>
      </w:r>
    </w:p>
    <w:p>
      <w:pPr>
        <w:spacing w:line="560" w:lineRule="exact"/>
        <w:ind w:firstLine="1635" w:firstLineChars="51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年度宁波市优质产品推荐目录汇总表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略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1622" w:firstLineChars="507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3.各区县（市）经信部门工作联系人汇总表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略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宁波市经济和信息化局    </w:t>
      </w:r>
    </w:p>
    <w:p>
      <w:pPr>
        <w:wordWrap w:val="0"/>
        <w:spacing w:line="560" w:lineRule="exact"/>
        <w:jc w:val="right"/>
        <w:rPr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日      </w:t>
      </w:r>
    </w:p>
    <w:p>
      <w:pPr>
        <w:spacing w:after="120" w:afterLines="50" w:line="500" w:lineRule="exact"/>
        <w:ind w:left="-69" w:leftChars="-33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after="120" w:afterLines="50" w:line="500" w:lineRule="exact"/>
        <w:ind w:left="-69" w:leftChars="-33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after="120" w:afterLines="50" w:line="500" w:lineRule="exact"/>
        <w:ind w:left="-69" w:leftChars="-33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after="120" w:afterLines="50"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20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2021年度宁波市优质产品推荐申报表</w:t>
      </w:r>
    </w:p>
    <w:p>
      <w:pPr>
        <w:spacing w:line="50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申报企业（盖章）：                 申报时间：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510"/>
        <w:gridCol w:w="1588"/>
        <w:gridCol w:w="562"/>
        <w:gridCol w:w="914"/>
        <w:gridCol w:w="361"/>
        <w:gridCol w:w="83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所属区域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工作联系人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企业类型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□国有  □民营  □合资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所属行业(行业代码）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2" w:leftChars="-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□电气        □建材        □智能化装备        □纺织服装</w:t>
            </w:r>
          </w:p>
          <w:p>
            <w:pPr>
              <w:spacing w:line="320" w:lineRule="exact"/>
              <w:ind w:left="-2" w:leftChars="-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□家具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□文体用品    □金属制品          □电子产品</w:t>
            </w:r>
          </w:p>
          <w:p>
            <w:pPr>
              <w:spacing w:line="320" w:lineRule="exact"/>
              <w:ind w:left="-2" w:leftChars="-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□仪器仪表    □医疗器械    □交通运输设备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2" w:leftChars="-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统计系统四位行业代码□□□□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申报产品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产品名称</w:t>
            </w: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经营情况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资产总额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万元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从业人数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收入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万元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同比增长       %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总产值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万元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同比增长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利税总额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万元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同比增长       %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利润总额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万元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同比增长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区县（市）经信部门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市经信局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（盖章）      年    月    日</w:t>
            </w:r>
          </w:p>
        </w:tc>
      </w:tr>
    </w:tbl>
    <w:p>
      <w:pPr>
        <w:spacing w:before="120" w:beforeLines="50" w:line="360" w:lineRule="exact"/>
        <w:ind w:firstLine="180" w:firstLineChars="75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注：1.“所属行业（领域）”按照“国民经济行业分类”标准进行划分；</w:t>
      </w:r>
    </w:p>
    <w:p>
      <w:pPr>
        <w:spacing w:line="360" w:lineRule="exact"/>
        <w:ind w:firstLine="684" w:firstLineChars="285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2.“申报条件”请对照前文“申报产品条件”所列的选项进行填写；</w:t>
      </w:r>
    </w:p>
    <w:p>
      <w:pPr>
        <w:spacing w:line="360" w:lineRule="exact"/>
        <w:ind w:firstLine="672" w:firstLineChars="28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楷体_GB2312" w:eastAsia="楷体_GB2312"/>
          <w:sz w:val="24"/>
        </w:rPr>
        <w:t>3.请确定一名相对固定的人员作为联系人，以方便后续培训、对接等工作联系。</w:t>
      </w:r>
    </w:p>
    <w:p>
      <w:pPr>
        <w:rPr>
          <w:rFonts w:hint="eastAsia" w:ascii="仿宋_GB2312" w:hAnsi="仿宋_GB2312" w:eastAsia="仿宋_GB2312"/>
          <w:sz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napToGrid w:val="0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snapToGrid w:val="0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snapToGrid w:val="0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snapToGrid w:val="0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snapToGrid w:val="0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>
      <w:pPr>
        <w:rPr>
          <w:rFonts w:hint="eastAsia" w:ascii="仿宋_GB2312" w:hAnsi="仿宋_GB2312" w:eastAsia="仿宋_GB2312"/>
          <w:snapToGrid w:val="0"/>
          <w:sz w:val="32"/>
        </w:rPr>
      </w:pPr>
    </w:p>
    <w:p/>
    <w:sectPr>
      <w:footerReference r:id="rId3" w:type="default"/>
      <w:footerReference r:id="rId4" w:type="even"/>
      <w:pgSz w:w="11907" w:h="16840"/>
      <w:pgMar w:top="2041" w:right="1418" w:bottom="1588" w:left="1418" w:header="890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26253"/>
    <w:rsid w:val="01F63884"/>
    <w:rsid w:val="026D68D9"/>
    <w:rsid w:val="03686C1F"/>
    <w:rsid w:val="038D5738"/>
    <w:rsid w:val="03BC3AD9"/>
    <w:rsid w:val="03D4295F"/>
    <w:rsid w:val="045F1C22"/>
    <w:rsid w:val="049F1489"/>
    <w:rsid w:val="04DB3715"/>
    <w:rsid w:val="069F058E"/>
    <w:rsid w:val="0843155A"/>
    <w:rsid w:val="088050FA"/>
    <w:rsid w:val="08A414F5"/>
    <w:rsid w:val="08C32EF9"/>
    <w:rsid w:val="08FD0528"/>
    <w:rsid w:val="097505BA"/>
    <w:rsid w:val="0B8F5235"/>
    <w:rsid w:val="10D344D1"/>
    <w:rsid w:val="11F43B54"/>
    <w:rsid w:val="12147472"/>
    <w:rsid w:val="13C17D18"/>
    <w:rsid w:val="14B838B9"/>
    <w:rsid w:val="15B3435D"/>
    <w:rsid w:val="15C41619"/>
    <w:rsid w:val="15F266AA"/>
    <w:rsid w:val="167A7B45"/>
    <w:rsid w:val="16C12E1E"/>
    <w:rsid w:val="16D21DA5"/>
    <w:rsid w:val="1A013060"/>
    <w:rsid w:val="1A5156C6"/>
    <w:rsid w:val="1A8314FD"/>
    <w:rsid w:val="1A9F1010"/>
    <w:rsid w:val="1CDA4A05"/>
    <w:rsid w:val="1E103C7C"/>
    <w:rsid w:val="1E233D1C"/>
    <w:rsid w:val="1E527E52"/>
    <w:rsid w:val="1F403CD3"/>
    <w:rsid w:val="1FDA55ED"/>
    <w:rsid w:val="1FFB7513"/>
    <w:rsid w:val="210A7205"/>
    <w:rsid w:val="22535BB4"/>
    <w:rsid w:val="238E5D48"/>
    <w:rsid w:val="23BA3AB4"/>
    <w:rsid w:val="245D7A40"/>
    <w:rsid w:val="26137F24"/>
    <w:rsid w:val="27BD06B9"/>
    <w:rsid w:val="27C06D7C"/>
    <w:rsid w:val="285C713C"/>
    <w:rsid w:val="28B82182"/>
    <w:rsid w:val="2ACD6320"/>
    <w:rsid w:val="2B625B8A"/>
    <w:rsid w:val="2DD344FD"/>
    <w:rsid w:val="2E46162B"/>
    <w:rsid w:val="2E4A5BAA"/>
    <w:rsid w:val="2EFD20E6"/>
    <w:rsid w:val="2F392486"/>
    <w:rsid w:val="2F826F39"/>
    <w:rsid w:val="2FE10513"/>
    <w:rsid w:val="301C748D"/>
    <w:rsid w:val="30532191"/>
    <w:rsid w:val="31637096"/>
    <w:rsid w:val="31F63C2D"/>
    <w:rsid w:val="33307307"/>
    <w:rsid w:val="345522DC"/>
    <w:rsid w:val="34DE23B1"/>
    <w:rsid w:val="350538C9"/>
    <w:rsid w:val="365F630A"/>
    <w:rsid w:val="373E408F"/>
    <w:rsid w:val="3AAA7305"/>
    <w:rsid w:val="3AC26253"/>
    <w:rsid w:val="3B4F75D2"/>
    <w:rsid w:val="3C7C0B5F"/>
    <w:rsid w:val="3C8C307F"/>
    <w:rsid w:val="3CFB2E85"/>
    <w:rsid w:val="3D177499"/>
    <w:rsid w:val="3DC01B73"/>
    <w:rsid w:val="3EF30355"/>
    <w:rsid w:val="400F25A4"/>
    <w:rsid w:val="402245F2"/>
    <w:rsid w:val="40D835FB"/>
    <w:rsid w:val="41E07122"/>
    <w:rsid w:val="42B67A88"/>
    <w:rsid w:val="43B14504"/>
    <w:rsid w:val="43FD470D"/>
    <w:rsid w:val="45A9550F"/>
    <w:rsid w:val="45ED7FB3"/>
    <w:rsid w:val="46EC6A7F"/>
    <w:rsid w:val="470D3BDD"/>
    <w:rsid w:val="47D20031"/>
    <w:rsid w:val="47FB068B"/>
    <w:rsid w:val="48903066"/>
    <w:rsid w:val="49910796"/>
    <w:rsid w:val="4B3466FF"/>
    <w:rsid w:val="4C632F68"/>
    <w:rsid w:val="4C7662F2"/>
    <w:rsid w:val="4DA50696"/>
    <w:rsid w:val="4E737553"/>
    <w:rsid w:val="512E2A7C"/>
    <w:rsid w:val="51A57A24"/>
    <w:rsid w:val="51E26522"/>
    <w:rsid w:val="51F04447"/>
    <w:rsid w:val="520075ED"/>
    <w:rsid w:val="52A7007F"/>
    <w:rsid w:val="54482B01"/>
    <w:rsid w:val="55395B1C"/>
    <w:rsid w:val="55961EE4"/>
    <w:rsid w:val="563836E4"/>
    <w:rsid w:val="568B5E82"/>
    <w:rsid w:val="56DE3BAC"/>
    <w:rsid w:val="57032C96"/>
    <w:rsid w:val="58317119"/>
    <w:rsid w:val="58D76A70"/>
    <w:rsid w:val="5AE4675E"/>
    <w:rsid w:val="5C6441DD"/>
    <w:rsid w:val="5CB23F10"/>
    <w:rsid w:val="5CC5716B"/>
    <w:rsid w:val="5CD92A63"/>
    <w:rsid w:val="5E9F0693"/>
    <w:rsid w:val="5F1E27F9"/>
    <w:rsid w:val="62E316E3"/>
    <w:rsid w:val="63CD4FBB"/>
    <w:rsid w:val="644B2DA5"/>
    <w:rsid w:val="64AB31F2"/>
    <w:rsid w:val="65583B16"/>
    <w:rsid w:val="65DB103B"/>
    <w:rsid w:val="662C7BF7"/>
    <w:rsid w:val="66A9137E"/>
    <w:rsid w:val="66CD2006"/>
    <w:rsid w:val="677100D9"/>
    <w:rsid w:val="68C54BA7"/>
    <w:rsid w:val="69545B33"/>
    <w:rsid w:val="69896455"/>
    <w:rsid w:val="6AEF52D8"/>
    <w:rsid w:val="6BB015E4"/>
    <w:rsid w:val="6DF15BDA"/>
    <w:rsid w:val="6F820D70"/>
    <w:rsid w:val="70FC05C1"/>
    <w:rsid w:val="71327668"/>
    <w:rsid w:val="719411C1"/>
    <w:rsid w:val="71C9618B"/>
    <w:rsid w:val="71EC415F"/>
    <w:rsid w:val="731A05E8"/>
    <w:rsid w:val="734E42EC"/>
    <w:rsid w:val="74BA6E86"/>
    <w:rsid w:val="74C43288"/>
    <w:rsid w:val="77335F84"/>
    <w:rsid w:val="78434933"/>
    <w:rsid w:val="79245903"/>
    <w:rsid w:val="79965FE0"/>
    <w:rsid w:val="7A1E2155"/>
    <w:rsid w:val="7A7E4674"/>
    <w:rsid w:val="7AED6B3E"/>
    <w:rsid w:val="7DA85C02"/>
    <w:rsid w:val="7DDC017C"/>
    <w:rsid w:val="7DE03DB5"/>
    <w:rsid w:val="7E292FDA"/>
    <w:rsid w:val="7F9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2021-01-14T05:55:00Z</dcterms:created>
  <dc:creator>市经济和信息化局</dc:creator>
  <cp:lastModifiedBy>市经济和信息化局</cp:lastModifiedBy>
  <dcterms:modified xsi:type="dcterms:W3CDTF">2021-01-14T05:56:05Z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