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80"/>
        </w:tabs>
        <w:spacing w:line="240" w:lineRule="atLeast"/>
        <w:jc w:val="center"/>
        <w:rPr>
          <w:rFonts w:hint="eastAsia" w:ascii="方正小标宋简体" w:hAnsi="黑体" w:eastAsia="方正小标宋简体" w:cs="黑体"/>
          <w:spacing w:val="-20"/>
          <w:position w:val="-50"/>
          <w:sz w:val="36"/>
          <w:szCs w:val="36"/>
        </w:rPr>
      </w:pPr>
      <w:r>
        <w:rPr>
          <w:rFonts w:hint="eastAsia" w:ascii="方正小标宋简体" w:hAnsi="黑体" w:eastAsia="方正小标宋简体" w:cs="黑体"/>
          <w:spacing w:val="-20"/>
          <w:position w:val="-50"/>
          <w:sz w:val="36"/>
          <w:szCs w:val="36"/>
        </w:rPr>
        <w:t>余姚市医疗保障局</w:t>
      </w:r>
    </w:p>
    <w:p>
      <w:pPr>
        <w:tabs>
          <w:tab w:val="left" w:pos="2580"/>
        </w:tabs>
        <w:spacing w:line="240" w:lineRule="atLeast"/>
        <w:jc w:val="center"/>
        <w:rPr>
          <w:rFonts w:hint="eastAsia" w:ascii="方正小标宋简体" w:hAnsi="黑体" w:eastAsia="方正小标宋简体" w:cs="黑体"/>
          <w:spacing w:val="-20"/>
          <w:position w:val="-50"/>
          <w:sz w:val="36"/>
          <w:szCs w:val="36"/>
        </w:rPr>
      </w:pPr>
      <w:r>
        <w:rPr>
          <w:rFonts w:hint="eastAsia" w:ascii="方正小标宋简体" w:hAnsi="黑体" w:eastAsia="方正小标宋简体" w:cs="黑体"/>
          <w:spacing w:val="-20"/>
          <w:position w:val="-50"/>
          <w:sz w:val="36"/>
          <w:szCs w:val="36"/>
        </w:rPr>
        <w:t>2020年度政府信息公开工作年度报告</w:t>
      </w:r>
    </w:p>
    <w:p>
      <w:pPr>
        <w:pStyle w:val="8"/>
        <w:widowControl/>
        <w:spacing w:line="600" w:lineRule="exact"/>
        <w:ind w:firstLine="640"/>
        <w:rPr>
          <w:rFonts w:hint="eastAsia" w:cs="仿宋_GB2312"/>
        </w:rPr>
      </w:pPr>
    </w:p>
    <w:p>
      <w:pPr>
        <w:pStyle w:val="8"/>
        <w:widowControl/>
        <w:spacing w:line="600" w:lineRule="exact"/>
        <w:ind w:firstLine="640"/>
        <w:rPr>
          <w:rFonts w:cs="仿宋_GB2312"/>
        </w:rPr>
      </w:pPr>
      <w:r>
        <w:rPr>
          <w:rFonts w:hint="eastAsia" w:cs="仿宋_GB2312"/>
        </w:rPr>
        <w:t>本年报根据《中华人民共和国政府信息公开条例》要求，按照2020年度余姚市医疗保障局政府信息公开工作实际编制而成。本年报由总体情况、主动公开政府信息情况、收到和处理政府信息公开申请情况、被申请行政复议、提起行政诉讼的情况及处理结果、工作存在的主要问题和改进措施、其他需要报告的事项六块工作的政府公开情况总结而成。本年报中所列数据统计时间截至2020年12月31日。本年报的电子版可在余姚市政府门户网站（www.yy.gov.cn）政务公开专栏下载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ind w:firstLine="640" w:firstLineChars="2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一是加强组织领导，加大工作力度。在市委、市政府的指导下，我局高度重视政务信息公开工作，通过增派精兵强将、下发制度文件、明确经办责任等方式大力促进政务公开工作，不断增强信息公开实效性和便利性，为社会大众及时、主动、准确地提供政务信息公开服务。</w:t>
      </w:r>
    </w:p>
    <w:p>
      <w:pPr>
        <w:ind w:firstLine="640" w:firstLineChars="2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二是建立完善制度，及时公开信息。认真落实上级医保部门政策，并及时在网站公布，明确专人，解决公开不及时问题，加强信息公开的保密审查工作，明确政务信息公开工作中的职责、权限和工作重点，提高依法公开信息的意识和能力。</w:t>
      </w:r>
    </w:p>
    <w:p>
      <w:pPr>
        <w:ind w:firstLine="640" w:firstLineChars="2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三是加强培训学习，提升工作水平。多次举办信息公开业务培训，使工作人员进一步拓宽视野，熟悉相关政策，理清工作思路，掌握业务技能，业务水平得到了提升。按照市委市政府的统一部署，扎实做好信息公开工作，促进信息公开工作高效运行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p>
      <w:pPr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余姚市医疗保障局办公室负责政府信息的收集、整理、分类和发布等工作，经严格审核、认真研究，确定政策信息主动公开的内容。</w:t>
      </w:r>
    </w:p>
    <w:p>
      <w:pPr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截至2020年12月31日，余姚市医疗保障局主动公开政府信息39条。</w:t>
      </w:r>
    </w:p>
    <w:tbl>
      <w:tblPr>
        <w:tblStyle w:val="4"/>
        <w:tblW w:w="893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605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本年新制作数量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本年新公开数量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规章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规范性文件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上一年项目数量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本年增</w:t>
            </w:r>
            <w:r>
              <w:rPr>
                <w:rFonts w:ascii="黑体" w:hAnsi="黑体" w:eastAsia="黑体" w:cs="黑体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减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行政许可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其他对外管理服务事项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 xml:space="preserve">17                       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+3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上一年项目数量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本年增</w:t>
            </w:r>
            <w:r>
              <w:rPr>
                <w:rFonts w:ascii="黑体" w:hAnsi="黑体" w:eastAsia="黑体" w:cs="黑体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减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行政处罚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行政强制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本年增</w:t>
            </w:r>
            <w:r>
              <w:rPr>
                <w:rFonts w:ascii="黑体" w:hAnsi="黑体" w:eastAsia="黑体" w:cs="黑体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行政事业性收费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政府集中采购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292475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4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141"/>
        <w:gridCol w:w="2029"/>
        <w:gridCol w:w="839"/>
        <w:gridCol w:w="709"/>
        <w:gridCol w:w="709"/>
        <w:gridCol w:w="992"/>
        <w:gridCol w:w="814"/>
        <w:gridCol w:w="481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restart"/>
            <w:vAlign w:val="center"/>
          </w:tcPr>
          <w:p>
            <w:pPr>
              <w:spacing w:line="400" w:lineRule="exact"/>
              <w:rPr>
                <w:rFonts w:ascii="宋体" w:eastAsia="宋体" w:cs="Times New Roman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17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ascii="宋体" w:eastAsia="宋体" w:cs="Times New Roman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自然人</w:t>
            </w:r>
          </w:p>
        </w:tc>
        <w:tc>
          <w:tcPr>
            <w:tcW w:w="37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法人或其他组织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ascii="宋体" w:eastAsia="宋体" w:cs="Times New Roman"/>
                <w:sz w:val="18"/>
                <w:szCs w:val="18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spacing w:line="400" w:lineRule="exac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商业企业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科研机构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社会公益组织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法律服务机构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400" w:lineRule="exac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22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一、本年新收到政府信息公开申请数量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22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二、上年转结政府信息公开申请数量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三、本年度办理结果</w:t>
            </w:r>
          </w:p>
        </w:tc>
        <w:tc>
          <w:tcPr>
            <w:tcW w:w="317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（一）予以公开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（三）不予公开</w:t>
            </w: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属于国家秘密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其他法律行政法规禁止公开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危及“三安全一稳定”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保护第三方合法权益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属于三类内部事务信息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属于四类过程性信息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7.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属于行政执法案卷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8.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属于行政查询事项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（四）无法提供</w:t>
            </w: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本机关不掌握相关政府信息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没有现成信息需要另行制作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补正后申请内容仍不明确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（五）不予处理</w:t>
            </w: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信访举报投诉类申请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重复申请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要求提供公开出版物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无正当理由大量反复申请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要求行政机关确认或重新出具已获取信息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（六）其他处理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（七）总计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22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四、转结下年度继续办理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0</w:t>
            </w:r>
          </w:p>
        </w:tc>
      </w:tr>
    </w:tbl>
    <w:p>
      <w:pPr>
        <w:spacing w:beforeLines="100" w:afterLines="50" w:line="520" w:lineRule="exact"/>
        <w:ind w:left="640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四、被申请行政复议、提起行政诉讼的情况及处理结果</w:t>
      </w:r>
    </w:p>
    <w:tbl>
      <w:tblPr>
        <w:tblStyle w:val="5"/>
        <w:tblW w:w="0" w:type="auto"/>
        <w:tblInd w:w="64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526"/>
        <w:gridCol w:w="526"/>
        <w:gridCol w:w="526"/>
        <w:gridCol w:w="526"/>
        <w:gridCol w:w="525"/>
        <w:gridCol w:w="525"/>
        <w:gridCol w:w="525"/>
        <w:gridCol w:w="525"/>
        <w:gridCol w:w="525"/>
        <w:gridCol w:w="525"/>
        <w:gridCol w:w="525"/>
        <w:gridCol w:w="525"/>
        <w:gridCol w:w="526"/>
        <w:gridCol w:w="5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0" w:type="dxa"/>
            <w:gridSpan w:val="5"/>
            <w:vAlign w:val="center"/>
          </w:tcPr>
          <w:p>
            <w:pPr>
              <w:spacing w:beforeLines="100" w:afterLines="50" w:line="520" w:lineRule="exact"/>
              <w:jc w:val="center"/>
              <w:outlineLvl w:val="0"/>
            </w:pPr>
            <w:r>
              <w:rPr>
                <w:rFonts w:hint="eastAsia"/>
              </w:rPr>
              <w:t>行政复议</w:t>
            </w:r>
          </w:p>
        </w:tc>
        <w:tc>
          <w:tcPr>
            <w:tcW w:w="5252" w:type="dxa"/>
            <w:gridSpan w:val="10"/>
            <w:vAlign w:val="center"/>
          </w:tcPr>
          <w:p>
            <w:pPr>
              <w:spacing w:beforeLines="100" w:afterLines="50" w:line="520" w:lineRule="exact"/>
              <w:jc w:val="center"/>
              <w:outlineLvl w:val="0"/>
            </w:pPr>
            <w:r>
              <w:rPr>
                <w:rFonts w:hint="eastAsia"/>
              </w:rPr>
              <w:t>行政诉讼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vMerge w:val="restart"/>
            <w:vAlign w:val="center"/>
          </w:tcPr>
          <w:p>
            <w:pPr>
              <w:spacing w:beforeLines="100" w:afterLines="50" w:line="520" w:lineRule="exact"/>
              <w:jc w:val="center"/>
              <w:outlineLvl w:val="0"/>
            </w:pPr>
            <w:r>
              <w:rPr>
                <w:rFonts w:hint="eastAsia"/>
              </w:rPr>
              <w:t>结果维持</w:t>
            </w:r>
          </w:p>
        </w:tc>
        <w:tc>
          <w:tcPr>
            <w:tcW w:w="526" w:type="dxa"/>
            <w:vMerge w:val="restart"/>
            <w:vAlign w:val="center"/>
          </w:tcPr>
          <w:p>
            <w:pPr>
              <w:spacing w:beforeLines="100" w:afterLines="50" w:line="520" w:lineRule="exact"/>
              <w:jc w:val="center"/>
              <w:outlineLvl w:val="0"/>
            </w:pPr>
            <w:r>
              <w:rPr>
                <w:rFonts w:hint="eastAsia"/>
              </w:rPr>
              <w:t>结果纠正</w:t>
            </w:r>
          </w:p>
        </w:tc>
        <w:tc>
          <w:tcPr>
            <w:tcW w:w="526" w:type="dxa"/>
            <w:vMerge w:val="restart"/>
            <w:vAlign w:val="center"/>
          </w:tcPr>
          <w:p>
            <w:pPr>
              <w:spacing w:beforeLines="100" w:afterLines="50" w:line="520" w:lineRule="exact"/>
              <w:jc w:val="center"/>
              <w:outlineLvl w:val="0"/>
            </w:pPr>
            <w:r>
              <w:rPr>
                <w:rFonts w:hint="eastAsia"/>
              </w:rPr>
              <w:t>其他结果</w:t>
            </w:r>
          </w:p>
        </w:tc>
        <w:tc>
          <w:tcPr>
            <w:tcW w:w="526" w:type="dxa"/>
            <w:vMerge w:val="restart"/>
            <w:vAlign w:val="center"/>
          </w:tcPr>
          <w:p>
            <w:pPr>
              <w:spacing w:beforeLines="100" w:afterLines="50" w:line="520" w:lineRule="exact"/>
              <w:jc w:val="center"/>
              <w:outlineLvl w:val="0"/>
            </w:pPr>
            <w:r>
              <w:rPr>
                <w:rFonts w:hint="eastAsia"/>
              </w:rPr>
              <w:t>尚未审结</w:t>
            </w:r>
          </w:p>
        </w:tc>
        <w:tc>
          <w:tcPr>
            <w:tcW w:w="526" w:type="dxa"/>
            <w:vMerge w:val="restart"/>
            <w:vAlign w:val="center"/>
          </w:tcPr>
          <w:p>
            <w:pPr>
              <w:spacing w:beforeLines="100" w:afterLines="50" w:line="520" w:lineRule="exact"/>
              <w:jc w:val="center"/>
              <w:outlineLvl w:val="0"/>
            </w:pPr>
            <w:r>
              <w:rPr>
                <w:rFonts w:hint="eastAsia"/>
              </w:rPr>
              <w:t>总计</w:t>
            </w:r>
          </w:p>
        </w:tc>
        <w:tc>
          <w:tcPr>
            <w:tcW w:w="2625" w:type="dxa"/>
            <w:gridSpan w:val="5"/>
            <w:vAlign w:val="center"/>
          </w:tcPr>
          <w:p>
            <w:pPr>
              <w:spacing w:beforeLines="100" w:afterLines="50" w:line="520" w:lineRule="exact"/>
              <w:jc w:val="center"/>
              <w:outlineLvl w:val="0"/>
            </w:pPr>
            <w:r>
              <w:rPr>
                <w:rFonts w:hint="eastAsia"/>
              </w:rPr>
              <w:t>未经复议直接起诉</w:t>
            </w:r>
          </w:p>
        </w:tc>
        <w:tc>
          <w:tcPr>
            <w:tcW w:w="2627" w:type="dxa"/>
            <w:gridSpan w:val="5"/>
            <w:vAlign w:val="center"/>
          </w:tcPr>
          <w:p>
            <w:pPr>
              <w:spacing w:beforeLines="100" w:afterLines="50" w:line="520" w:lineRule="exact"/>
              <w:jc w:val="center"/>
              <w:outlineLvl w:val="0"/>
            </w:pPr>
            <w:r>
              <w:rPr>
                <w:rFonts w:hint="eastAsia"/>
              </w:rPr>
              <w:t>复议后起诉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vMerge w:val="continue"/>
            <w:vAlign w:val="center"/>
          </w:tcPr>
          <w:p>
            <w:pPr>
              <w:spacing w:beforeLines="100" w:afterLines="50" w:line="520" w:lineRule="exact"/>
              <w:jc w:val="center"/>
              <w:outlineLvl w:val="0"/>
            </w:pPr>
          </w:p>
        </w:tc>
        <w:tc>
          <w:tcPr>
            <w:tcW w:w="526" w:type="dxa"/>
            <w:vMerge w:val="continue"/>
            <w:vAlign w:val="center"/>
          </w:tcPr>
          <w:p>
            <w:pPr>
              <w:spacing w:beforeLines="100" w:afterLines="50" w:line="520" w:lineRule="exact"/>
              <w:jc w:val="center"/>
              <w:outlineLvl w:val="0"/>
            </w:pPr>
          </w:p>
        </w:tc>
        <w:tc>
          <w:tcPr>
            <w:tcW w:w="526" w:type="dxa"/>
            <w:vMerge w:val="continue"/>
            <w:vAlign w:val="center"/>
          </w:tcPr>
          <w:p>
            <w:pPr>
              <w:spacing w:beforeLines="100" w:afterLines="50" w:line="520" w:lineRule="exact"/>
              <w:jc w:val="center"/>
              <w:outlineLvl w:val="0"/>
            </w:pPr>
          </w:p>
        </w:tc>
        <w:tc>
          <w:tcPr>
            <w:tcW w:w="526" w:type="dxa"/>
            <w:vMerge w:val="continue"/>
            <w:vAlign w:val="center"/>
          </w:tcPr>
          <w:p>
            <w:pPr>
              <w:spacing w:beforeLines="100" w:afterLines="50" w:line="520" w:lineRule="exact"/>
              <w:jc w:val="center"/>
              <w:outlineLvl w:val="0"/>
            </w:pPr>
          </w:p>
        </w:tc>
        <w:tc>
          <w:tcPr>
            <w:tcW w:w="526" w:type="dxa"/>
            <w:vMerge w:val="continue"/>
            <w:vAlign w:val="center"/>
          </w:tcPr>
          <w:p>
            <w:pPr>
              <w:spacing w:beforeLines="100" w:afterLines="50" w:line="520" w:lineRule="exact"/>
              <w:jc w:val="center"/>
              <w:outlineLvl w:val="0"/>
            </w:pPr>
          </w:p>
        </w:tc>
        <w:tc>
          <w:tcPr>
            <w:tcW w:w="525" w:type="dxa"/>
            <w:vAlign w:val="center"/>
          </w:tcPr>
          <w:p>
            <w:pPr>
              <w:spacing w:beforeLines="100" w:afterLines="50" w:line="520" w:lineRule="exact"/>
              <w:jc w:val="center"/>
              <w:outlineLvl w:val="0"/>
            </w:pPr>
            <w:r>
              <w:rPr>
                <w:rFonts w:hint="eastAsia"/>
              </w:rPr>
              <w:t>结果维持</w:t>
            </w:r>
          </w:p>
        </w:tc>
        <w:tc>
          <w:tcPr>
            <w:tcW w:w="525" w:type="dxa"/>
            <w:vAlign w:val="center"/>
          </w:tcPr>
          <w:p>
            <w:pPr>
              <w:spacing w:beforeLines="100" w:afterLines="50" w:line="520" w:lineRule="exact"/>
              <w:jc w:val="center"/>
              <w:outlineLvl w:val="0"/>
            </w:pPr>
            <w:r>
              <w:rPr>
                <w:rFonts w:hint="eastAsia"/>
              </w:rPr>
              <w:t>结果纠正</w:t>
            </w:r>
          </w:p>
        </w:tc>
        <w:tc>
          <w:tcPr>
            <w:tcW w:w="525" w:type="dxa"/>
            <w:vAlign w:val="center"/>
          </w:tcPr>
          <w:p>
            <w:pPr>
              <w:spacing w:beforeLines="100" w:afterLines="50" w:line="520" w:lineRule="exact"/>
              <w:jc w:val="center"/>
              <w:outlineLvl w:val="0"/>
            </w:pPr>
            <w:r>
              <w:rPr>
                <w:rFonts w:hint="eastAsia"/>
              </w:rPr>
              <w:t>其他结果</w:t>
            </w:r>
          </w:p>
        </w:tc>
        <w:tc>
          <w:tcPr>
            <w:tcW w:w="525" w:type="dxa"/>
            <w:vAlign w:val="center"/>
          </w:tcPr>
          <w:p>
            <w:pPr>
              <w:spacing w:beforeLines="100" w:afterLines="50" w:line="520" w:lineRule="exact"/>
              <w:jc w:val="center"/>
              <w:outlineLvl w:val="0"/>
            </w:pPr>
            <w:r>
              <w:rPr>
                <w:rFonts w:hint="eastAsia"/>
              </w:rPr>
              <w:t>尚未审结</w:t>
            </w:r>
          </w:p>
        </w:tc>
        <w:tc>
          <w:tcPr>
            <w:tcW w:w="525" w:type="dxa"/>
            <w:vAlign w:val="center"/>
          </w:tcPr>
          <w:p>
            <w:pPr>
              <w:spacing w:beforeLines="100" w:afterLines="50" w:line="520" w:lineRule="exact"/>
              <w:jc w:val="center"/>
              <w:outlineLvl w:val="0"/>
            </w:pPr>
            <w:r>
              <w:rPr>
                <w:rFonts w:hint="eastAsia"/>
              </w:rPr>
              <w:t>总计</w:t>
            </w:r>
          </w:p>
        </w:tc>
        <w:tc>
          <w:tcPr>
            <w:tcW w:w="525" w:type="dxa"/>
            <w:vAlign w:val="center"/>
          </w:tcPr>
          <w:p>
            <w:pPr>
              <w:spacing w:beforeLines="100" w:afterLines="50" w:line="520" w:lineRule="exact"/>
              <w:jc w:val="center"/>
              <w:outlineLvl w:val="0"/>
            </w:pPr>
            <w:r>
              <w:rPr>
                <w:rFonts w:hint="eastAsia"/>
              </w:rPr>
              <w:t>结果维持</w:t>
            </w:r>
          </w:p>
        </w:tc>
        <w:tc>
          <w:tcPr>
            <w:tcW w:w="525" w:type="dxa"/>
            <w:vAlign w:val="center"/>
          </w:tcPr>
          <w:p>
            <w:pPr>
              <w:spacing w:beforeLines="100" w:afterLines="50" w:line="520" w:lineRule="exact"/>
              <w:jc w:val="center"/>
              <w:outlineLvl w:val="0"/>
            </w:pPr>
            <w:r>
              <w:rPr>
                <w:rFonts w:hint="eastAsia"/>
              </w:rPr>
              <w:t>结果纠正</w:t>
            </w:r>
          </w:p>
        </w:tc>
        <w:tc>
          <w:tcPr>
            <w:tcW w:w="525" w:type="dxa"/>
            <w:vAlign w:val="center"/>
          </w:tcPr>
          <w:p>
            <w:pPr>
              <w:spacing w:beforeLines="100" w:afterLines="50" w:line="520" w:lineRule="exact"/>
              <w:jc w:val="center"/>
              <w:outlineLvl w:val="0"/>
            </w:pPr>
            <w:r>
              <w:rPr>
                <w:rFonts w:hint="eastAsia"/>
              </w:rPr>
              <w:t>其他结果</w:t>
            </w:r>
          </w:p>
        </w:tc>
        <w:tc>
          <w:tcPr>
            <w:tcW w:w="526" w:type="dxa"/>
            <w:vAlign w:val="center"/>
          </w:tcPr>
          <w:p>
            <w:pPr>
              <w:spacing w:beforeLines="100" w:afterLines="50" w:line="520" w:lineRule="exact"/>
              <w:jc w:val="center"/>
              <w:outlineLvl w:val="0"/>
            </w:pPr>
            <w:r>
              <w:rPr>
                <w:rFonts w:hint="eastAsia"/>
              </w:rPr>
              <w:t>尚未审结</w:t>
            </w:r>
          </w:p>
        </w:tc>
        <w:tc>
          <w:tcPr>
            <w:tcW w:w="526" w:type="dxa"/>
            <w:vAlign w:val="center"/>
          </w:tcPr>
          <w:p>
            <w:pPr>
              <w:spacing w:beforeLines="100" w:afterLines="50" w:line="520" w:lineRule="exact"/>
              <w:jc w:val="center"/>
              <w:outlineLvl w:val="0"/>
            </w:pPr>
            <w:r>
              <w:rPr>
                <w:rFonts w:hint="eastAsia"/>
              </w:rPr>
              <w:t>总计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vAlign w:val="center"/>
          </w:tcPr>
          <w:p>
            <w:pPr>
              <w:spacing w:beforeLines="100" w:afterLines="50" w:line="520" w:lineRule="exact"/>
              <w:jc w:val="center"/>
              <w:outlineLvl w:val="0"/>
            </w:pPr>
            <w:r>
              <w:rPr>
                <w:rFonts w:hint="eastAsia"/>
              </w:rPr>
              <w:t>0</w:t>
            </w:r>
          </w:p>
        </w:tc>
        <w:tc>
          <w:tcPr>
            <w:tcW w:w="526" w:type="dxa"/>
            <w:vAlign w:val="center"/>
          </w:tcPr>
          <w:p>
            <w:pPr>
              <w:spacing w:beforeLines="100" w:afterLines="50" w:line="520" w:lineRule="exact"/>
              <w:jc w:val="center"/>
              <w:outlineLvl w:val="0"/>
            </w:pPr>
            <w:r>
              <w:rPr>
                <w:rFonts w:hint="eastAsia"/>
              </w:rPr>
              <w:t>0</w:t>
            </w:r>
          </w:p>
        </w:tc>
        <w:tc>
          <w:tcPr>
            <w:tcW w:w="526" w:type="dxa"/>
            <w:vAlign w:val="center"/>
          </w:tcPr>
          <w:p>
            <w:pPr>
              <w:spacing w:beforeLines="100" w:afterLines="50" w:line="520" w:lineRule="exact"/>
              <w:jc w:val="center"/>
              <w:outlineLvl w:val="0"/>
            </w:pPr>
            <w:r>
              <w:rPr>
                <w:rFonts w:hint="eastAsia"/>
              </w:rPr>
              <w:t>0</w:t>
            </w:r>
          </w:p>
        </w:tc>
        <w:tc>
          <w:tcPr>
            <w:tcW w:w="526" w:type="dxa"/>
            <w:vAlign w:val="center"/>
          </w:tcPr>
          <w:p>
            <w:pPr>
              <w:spacing w:beforeLines="100" w:afterLines="50" w:line="520" w:lineRule="exact"/>
              <w:jc w:val="center"/>
              <w:outlineLvl w:val="0"/>
            </w:pPr>
            <w:r>
              <w:rPr>
                <w:rFonts w:hint="eastAsia"/>
              </w:rPr>
              <w:t>0</w:t>
            </w:r>
          </w:p>
        </w:tc>
        <w:tc>
          <w:tcPr>
            <w:tcW w:w="526" w:type="dxa"/>
            <w:vAlign w:val="center"/>
          </w:tcPr>
          <w:p>
            <w:pPr>
              <w:spacing w:beforeLines="100" w:afterLines="50" w:line="520" w:lineRule="exact"/>
              <w:jc w:val="center"/>
              <w:outlineLvl w:val="0"/>
            </w:pPr>
            <w:r>
              <w:rPr>
                <w:rFonts w:hint="eastAsia"/>
              </w:rPr>
              <w:t>0</w:t>
            </w:r>
          </w:p>
        </w:tc>
        <w:tc>
          <w:tcPr>
            <w:tcW w:w="525" w:type="dxa"/>
            <w:vAlign w:val="center"/>
          </w:tcPr>
          <w:p>
            <w:pPr>
              <w:spacing w:beforeLines="100" w:afterLines="50" w:line="520" w:lineRule="exact"/>
              <w:jc w:val="center"/>
              <w:outlineLvl w:val="0"/>
            </w:pPr>
            <w:r>
              <w:rPr>
                <w:rFonts w:hint="eastAsia"/>
              </w:rPr>
              <w:t>0</w:t>
            </w:r>
          </w:p>
        </w:tc>
        <w:tc>
          <w:tcPr>
            <w:tcW w:w="525" w:type="dxa"/>
            <w:vAlign w:val="center"/>
          </w:tcPr>
          <w:p>
            <w:pPr>
              <w:spacing w:beforeLines="100" w:afterLines="50" w:line="520" w:lineRule="exact"/>
              <w:jc w:val="center"/>
              <w:outlineLvl w:val="0"/>
            </w:pPr>
            <w:r>
              <w:rPr>
                <w:rFonts w:hint="eastAsia"/>
              </w:rPr>
              <w:t>0</w:t>
            </w:r>
          </w:p>
        </w:tc>
        <w:tc>
          <w:tcPr>
            <w:tcW w:w="525" w:type="dxa"/>
            <w:vAlign w:val="center"/>
          </w:tcPr>
          <w:p>
            <w:pPr>
              <w:spacing w:beforeLines="100" w:afterLines="50" w:line="520" w:lineRule="exact"/>
              <w:jc w:val="center"/>
              <w:outlineLvl w:val="0"/>
            </w:pPr>
            <w:r>
              <w:rPr>
                <w:rFonts w:hint="eastAsia"/>
              </w:rPr>
              <w:t>0</w:t>
            </w:r>
          </w:p>
        </w:tc>
        <w:tc>
          <w:tcPr>
            <w:tcW w:w="525" w:type="dxa"/>
            <w:vAlign w:val="center"/>
          </w:tcPr>
          <w:p>
            <w:pPr>
              <w:spacing w:beforeLines="100" w:afterLines="50" w:line="520" w:lineRule="exact"/>
              <w:jc w:val="center"/>
              <w:outlineLvl w:val="0"/>
            </w:pPr>
            <w:r>
              <w:rPr>
                <w:rFonts w:hint="eastAsia"/>
              </w:rPr>
              <w:t>0</w:t>
            </w:r>
          </w:p>
        </w:tc>
        <w:tc>
          <w:tcPr>
            <w:tcW w:w="525" w:type="dxa"/>
            <w:vAlign w:val="center"/>
          </w:tcPr>
          <w:p>
            <w:pPr>
              <w:spacing w:beforeLines="100" w:afterLines="50" w:line="520" w:lineRule="exact"/>
              <w:jc w:val="center"/>
              <w:outlineLvl w:val="0"/>
            </w:pPr>
            <w:r>
              <w:rPr>
                <w:rFonts w:hint="eastAsia"/>
              </w:rPr>
              <w:t>0</w:t>
            </w:r>
          </w:p>
        </w:tc>
        <w:tc>
          <w:tcPr>
            <w:tcW w:w="525" w:type="dxa"/>
            <w:vAlign w:val="center"/>
          </w:tcPr>
          <w:p>
            <w:pPr>
              <w:spacing w:beforeLines="100" w:afterLines="50" w:line="520" w:lineRule="exact"/>
              <w:jc w:val="center"/>
              <w:outlineLvl w:val="0"/>
            </w:pPr>
            <w:r>
              <w:rPr>
                <w:rFonts w:hint="eastAsia"/>
              </w:rPr>
              <w:t>0</w:t>
            </w:r>
          </w:p>
        </w:tc>
        <w:tc>
          <w:tcPr>
            <w:tcW w:w="525" w:type="dxa"/>
            <w:vAlign w:val="center"/>
          </w:tcPr>
          <w:p>
            <w:pPr>
              <w:spacing w:beforeLines="100" w:afterLines="50" w:line="520" w:lineRule="exact"/>
              <w:jc w:val="center"/>
              <w:outlineLvl w:val="0"/>
            </w:pPr>
            <w:r>
              <w:rPr>
                <w:rFonts w:hint="eastAsia"/>
              </w:rPr>
              <w:t>0</w:t>
            </w:r>
          </w:p>
        </w:tc>
        <w:tc>
          <w:tcPr>
            <w:tcW w:w="525" w:type="dxa"/>
            <w:vAlign w:val="center"/>
          </w:tcPr>
          <w:p>
            <w:pPr>
              <w:spacing w:beforeLines="100" w:afterLines="50" w:line="520" w:lineRule="exact"/>
              <w:jc w:val="center"/>
              <w:outlineLvl w:val="0"/>
            </w:pPr>
            <w:r>
              <w:rPr>
                <w:rFonts w:hint="eastAsia"/>
              </w:rPr>
              <w:t>0</w:t>
            </w:r>
          </w:p>
        </w:tc>
        <w:tc>
          <w:tcPr>
            <w:tcW w:w="526" w:type="dxa"/>
            <w:vAlign w:val="center"/>
          </w:tcPr>
          <w:p>
            <w:pPr>
              <w:spacing w:beforeLines="100" w:afterLines="50" w:line="520" w:lineRule="exact"/>
              <w:jc w:val="center"/>
              <w:outlineLvl w:val="0"/>
            </w:pPr>
            <w:r>
              <w:rPr>
                <w:rFonts w:hint="eastAsia"/>
              </w:rPr>
              <w:t>0</w:t>
            </w:r>
          </w:p>
        </w:tc>
        <w:tc>
          <w:tcPr>
            <w:tcW w:w="526" w:type="dxa"/>
            <w:vAlign w:val="center"/>
          </w:tcPr>
          <w:p>
            <w:pPr>
              <w:spacing w:beforeLines="100" w:afterLines="50" w:line="520" w:lineRule="exact"/>
              <w:jc w:val="center"/>
              <w:outlineLvl w:val="0"/>
            </w:pPr>
            <w:r>
              <w:rPr>
                <w:rFonts w:hint="eastAsia"/>
              </w:rPr>
              <w:t>0</w:t>
            </w:r>
          </w:p>
        </w:tc>
      </w:tr>
    </w:tbl>
    <w:p>
      <w:pPr>
        <w:spacing w:beforeLines="100" w:afterLines="50" w:line="520" w:lineRule="exact"/>
        <w:ind w:left="640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五、工作存在的主要问题和改进措施</w:t>
      </w:r>
    </w:p>
    <w:p>
      <w:pPr>
        <w:spacing w:beforeLines="100" w:afterLines="50" w:line="520" w:lineRule="exact"/>
        <w:ind w:left="640"/>
        <w:outlineLvl w:val="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余姚市医疗保障局信息公开工作中存在的问题主要表现为：一是政府信息公开意识不强，公开实效、公开内容质量有待加强。二是政府信息公开形式有待探索，可加强宣传推广。三是政务公开工作人员工作积极性有待提高。</w:t>
      </w:r>
    </w:p>
    <w:p>
      <w:pPr>
        <w:spacing w:beforeLines="100" w:afterLines="50" w:line="520" w:lineRule="exact"/>
        <w:ind w:left="640"/>
        <w:outlineLvl w:val="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下一步，我局将进一步拓展工作领域，创新工作方式，加强信息化建设，继续探索加强政府信息公开长效机制建设，进行广泛宣传，提高公众知晓率、利用率和参与率。</w:t>
      </w:r>
    </w:p>
    <w:p>
      <w:pPr>
        <w:spacing w:beforeLines="100" w:afterLines="50" w:line="520" w:lineRule="exact"/>
        <w:ind w:left="640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spacing w:beforeLines="100" w:afterLines="50" w:line="520" w:lineRule="exact"/>
        <w:ind w:left="640"/>
        <w:outlineLvl w:val="0"/>
        <w:rPr>
          <w:rFonts w:hint="eastAsia"/>
        </w:rPr>
      </w:pPr>
      <w:r>
        <w:rPr>
          <w:rFonts w:hint="eastAsia"/>
        </w:rPr>
        <w:t>本年度无其他需要报告的事项。</w:t>
      </w:r>
    </w:p>
    <w:p>
      <w:pPr>
        <w:spacing w:beforeLines="100" w:afterLines="50" w:line="520" w:lineRule="exact"/>
        <w:ind w:left="640"/>
        <w:jc w:val="right"/>
        <w:outlineLvl w:val="0"/>
        <w:rPr>
          <w:rFonts w:hint="eastAsia"/>
          <w:lang w:eastAsia="zh-CN"/>
        </w:rPr>
      </w:pPr>
      <w:r>
        <w:rPr>
          <w:rFonts w:hint="eastAsia"/>
          <w:lang w:eastAsia="zh-CN"/>
        </w:rPr>
        <w:t>余姚市医疗保障局</w:t>
      </w:r>
    </w:p>
    <w:p>
      <w:pPr>
        <w:spacing w:beforeLines="100" w:afterLines="50" w:line="520" w:lineRule="exact"/>
        <w:ind w:left="640"/>
        <w:jc w:val="right"/>
        <w:outlineLvl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2021年1月29号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  <w:rFonts w:cs="Times New Roman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  <w:ind w:right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4FB7"/>
    <w:rsid w:val="0022246A"/>
    <w:rsid w:val="002A6F07"/>
    <w:rsid w:val="004043B0"/>
    <w:rsid w:val="00791D98"/>
    <w:rsid w:val="008E5DC4"/>
    <w:rsid w:val="009B5170"/>
    <w:rsid w:val="00A5728D"/>
    <w:rsid w:val="00B64FB7"/>
    <w:rsid w:val="00EC276F"/>
    <w:rsid w:val="00F05CCB"/>
    <w:rsid w:val="00F06F19"/>
    <w:rsid w:val="077C6BCC"/>
    <w:rsid w:val="12130E3C"/>
    <w:rsid w:val="1A5E7625"/>
    <w:rsid w:val="245E3F21"/>
    <w:rsid w:val="34EF6DE7"/>
    <w:rsid w:val="3C710060"/>
    <w:rsid w:val="3E4C3D92"/>
    <w:rsid w:val="4FB13AB2"/>
    <w:rsid w:val="50241F39"/>
    <w:rsid w:val="5D7C43E7"/>
    <w:rsid w:val="7DAB1C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仿宋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99"/>
  </w:style>
  <w:style w:type="paragraph" w:customStyle="1" w:styleId="8">
    <w:name w:val="1仿宋1"/>
    <w:basedOn w:val="1"/>
    <w:qFormat/>
    <w:uiPriority w:val="99"/>
    <w:pPr>
      <w:ind w:firstLine="200" w:firstLineChars="200"/>
    </w:pPr>
    <w:rPr>
      <w:rFonts w:ascii="Times New Roman" w:hAnsi="Times New Roman" w:eastAsia="仿宋_GB2312" w:cs="Times New Roman"/>
      <w:sz w:val="32"/>
      <w:szCs w:val="32"/>
    </w:rPr>
  </w:style>
  <w:style w:type="character" w:customStyle="1" w:styleId="9">
    <w:name w:val="页眉 Char"/>
    <w:basedOn w:val="6"/>
    <w:link w:val="3"/>
    <w:uiPriority w:val="0"/>
    <w:rPr>
      <w:rFonts w:ascii="仿宋" w:hAnsi="仿宋" w:eastAsia="仿宋" w:cs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5</Pages>
  <Words>310</Words>
  <Characters>1768</Characters>
  <Lines>14</Lines>
  <Paragraphs>4</Paragraphs>
  <TotalTime>0</TotalTime>
  <ScaleCrop>false</ScaleCrop>
  <LinksUpToDate>false</LinksUpToDate>
  <CharactersWithSpaces>2074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2021-01-29T03:28:00Z</dcterms:created>
  <dc:creator>Administrator</dc:creator>
  <cp:lastModifiedBy>匿名用户</cp:lastModifiedBy>
  <cp:lastPrinted>2021-01-29T00:55:00Z</cp:lastPrinted>
  <dcterms:modified xsi:type="dcterms:W3CDTF">2021-01-29T07:10:17Z</dcterms:modified>
  <dc:title>余姚市人民政府办公室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