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方正小标宋简体"/>
          <w:sz w:val="28"/>
          <w:szCs w:val="28"/>
          <w:lang w:bidi="ar"/>
        </w:rPr>
      </w:pPr>
      <w:r>
        <w:rPr>
          <w:rFonts w:hint="eastAsia" w:ascii="仿宋_GB2312" w:hAnsi="宋体" w:eastAsia="仿宋_GB2312" w:cs="方正小标宋简体"/>
          <w:sz w:val="28"/>
          <w:szCs w:val="28"/>
          <w:lang w:bidi="ar"/>
        </w:rPr>
        <w:t>附件:</w:t>
      </w:r>
    </w:p>
    <w:p>
      <w:pPr>
        <w:ind w:firstLine="360" w:firstLineChars="100"/>
        <w:jc w:val="center"/>
        <w:rPr>
          <w:rFonts w:hint="eastAsia" w:ascii="仿宋_GB2312" w:hAnsi="宋体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36"/>
          <w:szCs w:val="36"/>
          <w:lang w:bidi="ar"/>
        </w:rPr>
        <w:t>余姚市企业闲置资产流转项目奖励申报表</w:t>
      </w:r>
    </w:p>
    <w:p>
      <w:pPr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 xml:space="preserve">                                                            单位：万元   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 xml:space="preserve">                                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17"/>
        <w:gridCol w:w="663"/>
        <w:gridCol w:w="60"/>
        <w:gridCol w:w="2100"/>
        <w:gridCol w:w="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受让企业名称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（盖章）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     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组织机构代码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法人代表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联系人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开户名称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账号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闲置资产流转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□司法拍卖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 □协议转让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闲置资产流转时间（以权证转移时间为准）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成交价格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闲置厂房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（土地）面积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流转缴纳总税收</w:t>
            </w: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其中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增值税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土地增值税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契税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申请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奖励金额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奖励金额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=（增值税40%+土地增值税80%+契税80%）*50%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所在乡镇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（街道）、经济开发区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、中意生态园初审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经办人：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审核人：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           </w:t>
            </w: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（盖章）</w:t>
            </w:r>
          </w:p>
          <w:p>
            <w:pPr>
              <w:spacing w:line="400" w:lineRule="exact"/>
              <w:ind w:firstLine="4080" w:firstLineChars="17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市经信局审核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市财政局审核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spacing w:line="400" w:lineRule="exact"/>
              <w:ind w:firstLine="3120" w:firstLineChars="13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年   月   日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hAnsi="宋体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7661F"/>
    <w:rsid w:val="10A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2019-11-07T02:16:00Z</dcterms:created>
  <dc:creator>喻志军</dc:creator>
  <cp:lastModifiedBy>喻志军</cp:lastModifiedBy>
  <dcterms:modified xsi:type="dcterms:W3CDTF">2019-11-07T02:18:15Z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