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textAlignment w:val="center"/>
        <w:rPr>
          <w:rFonts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余姚市长期护理保险定点护理服务机构（机构</w:t>
      </w:r>
      <w:r>
        <w:rPr>
          <w:rFonts w:ascii="方正小标宋简体" w:eastAsia="方正小标宋简体" w:cs="方正小标宋简体"/>
          <w:color w:val="000000"/>
          <w:kern w:val="0"/>
          <w:sz w:val="44"/>
          <w:szCs w:val="44"/>
        </w:rPr>
        <w:t>护理</w:t>
      </w:r>
      <w:r>
        <w:rPr>
          <w:rFonts w:hint="eastAsia" w:ascii="方正小标宋简体" w:eastAsia="方正小标宋简体" w:cs="方正小标宋简体"/>
          <w:color w:val="000000"/>
          <w:kern w:val="0"/>
          <w:sz w:val="44"/>
          <w:szCs w:val="44"/>
        </w:rPr>
        <w:t>）评估表</w:t>
      </w:r>
    </w:p>
    <w:p>
      <w:pPr>
        <w:pStyle w:val="8"/>
        <w:spacing w:line="400" w:lineRule="exact"/>
      </w:pPr>
    </w:p>
    <w:p>
      <w:pPr>
        <w:overflowPunct w:val="0"/>
        <w:spacing w:line="380" w:lineRule="exact"/>
        <w:ind w:firstLine="600" w:firstLineChars="250"/>
        <w:rPr>
          <w:rFonts w:eastAsia="仿宋_GB2312"/>
          <w:sz w:val="24"/>
        </w:rPr>
      </w:pPr>
      <w:r>
        <w:rPr>
          <w:rFonts w:eastAsia="仿宋_GB2312"/>
          <w:sz w:val="24"/>
        </w:rPr>
        <w:t>机构名称</w:t>
      </w:r>
      <w:r>
        <w:rPr>
          <w:rFonts w:hint="eastAsia" w:eastAsia="仿宋_GB2312"/>
          <w:sz w:val="24"/>
        </w:rPr>
        <w:t>(盖章)</w:t>
      </w:r>
      <w:r>
        <w:rPr>
          <w:rFonts w:eastAsia="仿宋_GB2312"/>
          <w:sz w:val="24"/>
        </w:rPr>
        <w:t>：</w:t>
      </w:r>
      <w:r>
        <w:rPr>
          <w:rFonts w:hint="eastAsia" w:eastAsia="仿宋_GB2312"/>
          <w:sz w:val="24"/>
        </w:rPr>
        <w:t xml:space="preserve">                                 </w:t>
      </w:r>
      <w:r>
        <w:rPr>
          <w:rFonts w:eastAsia="仿宋_GB2312"/>
          <w:sz w:val="24"/>
        </w:rPr>
        <w:t>地址：</w:t>
      </w:r>
      <w:r>
        <w:rPr>
          <w:rFonts w:hint="eastAsia" w:eastAsia="仿宋_GB2312"/>
          <w:sz w:val="24"/>
        </w:rPr>
        <w:t xml:space="preserve">                               </w:t>
      </w:r>
      <w:r>
        <w:rPr>
          <w:rFonts w:eastAsia="仿宋_GB2312"/>
          <w:sz w:val="24"/>
        </w:rPr>
        <w:t>评估时间：</w:t>
      </w:r>
    </w:p>
    <w:tbl>
      <w:tblPr>
        <w:tblStyle w:val="9"/>
        <w:tblW w:w="1292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969"/>
        <w:gridCol w:w="1766"/>
        <w:gridCol w:w="3891"/>
        <w:gridCol w:w="655"/>
        <w:gridCol w:w="4145"/>
        <w:gridCol w:w="15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49" w:hRule="atLeast"/>
          <w:tblHeader/>
          <w:jc w:val="center"/>
        </w:trPr>
        <w:tc>
          <w:tcPr>
            <w:tcW w:w="969"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黑体" w:eastAsia="黑体"/>
                <w:sz w:val="24"/>
              </w:rPr>
            </w:pPr>
            <w:r>
              <w:rPr>
                <w:rFonts w:ascii="黑体" w:eastAsia="黑体"/>
                <w:sz w:val="24"/>
              </w:rPr>
              <w:t>序号</w:t>
            </w:r>
          </w:p>
        </w:tc>
        <w:tc>
          <w:tcPr>
            <w:tcW w:w="1766"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黑体" w:eastAsia="黑体"/>
                <w:sz w:val="24"/>
              </w:rPr>
            </w:pPr>
            <w:r>
              <w:rPr>
                <w:rFonts w:hint="eastAsia" w:ascii="黑体" w:eastAsia="黑体"/>
                <w:spacing w:val="-6"/>
                <w:sz w:val="24"/>
              </w:rPr>
              <w:t>评估指标</w:t>
            </w:r>
          </w:p>
        </w:tc>
        <w:tc>
          <w:tcPr>
            <w:tcW w:w="389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黑体" w:eastAsia="黑体"/>
                <w:sz w:val="24"/>
              </w:rPr>
            </w:pPr>
            <w:r>
              <w:rPr>
                <w:rFonts w:hint="eastAsia" w:ascii="黑体" w:eastAsia="黑体"/>
                <w:sz w:val="24"/>
              </w:rPr>
              <w:t>评估</w:t>
            </w:r>
            <w:r>
              <w:rPr>
                <w:rFonts w:ascii="黑体" w:eastAsia="黑体"/>
                <w:sz w:val="24"/>
              </w:rPr>
              <w:t>标准</w:t>
            </w:r>
          </w:p>
        </w:tc>
        <w:tc>
          <w:tcPr>
            <w:tcW w:w="65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黑体" w:eastAsia="黑体"/>
                <w:sz w:val="24"/>
              </w:rPr>
            </w:pPr>
            <w:r>
              <w:rPr>
                <w:rFonts w:hint="eastAsia" w:ascii="黑体" w:eastAsia="黑体"/>
                <w:sz w:val="24"/>
              </w:rPr>
              <w:t>分值</w:t>
            </w:r>
          </w:p>
        </w:tc>
        <w:tc>
          <w:tcPr>
            <w:tcW w:w="414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黑体" w:eastAsia="黑体"/>
                <w:sz w:val="24"/>
              </w:rPr>
            </w:pPr>
            <w:r>
              <w:rPr>
                <w:rFonts w:hint="eastAsia" w:ascii="黑体" w:eastAsia="黑体"/>
                <w:sz w:val="24"/>
              </w:rPr>
              <w:t>评分标准</w:t>
            </w:r>
          </w:p>
        </w:tc>
        <w:tc>
          <w:tcPr>
            <w:tcW w:w="150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黑体" w:eastAsia="黑体"/>
                <w:sz w:val="24"/>
              </w:rPr>
            </w:pPr>
            <w:r>
              <w:rPr>
                <w:rFonts w:hint="eastAsia" w:ascii="黑体" w:eastAsia="黑体"/>
                <w:sz w:val="24"/>
              </w:rPr>
              <w:t>自评分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hint="eastAsia" w:ascii="仿宋_GB2312" w:eastAsia="仿宋_GB2312"/>
                <w:spacing w:val="-6"/>
                <w:sz w:val="24"/>
              </w:rPr>
            </w:pPr>
            <w:r>
              <w:rPr>
                <w:rFonts w:hint="eastAsia" w:ascii="仿宋_GB2312" w:eastAsia="仿宋_GB2312"/>
                <w:spacing w:val="-6"/>
                <w:sz w:val="24"/>
              </w:rPr>
              <w:t>1</w:t>
            </w:r>
          </w:p>
        </w:tc>
        <w:tc>
          <w:tcPr>
            <w:tcW w:w="1766"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hint="eastAsia" w:ascii="仿宋_GB2312" w:eastAsia="仿宋_GB2312"/>
                <w:spacing w:val="-6"/>
                <w:sz w:val="24"/>
              </w:rPr>
            </w:pPr>
            <w:r>
              <w:rPr>
                <w:rFonts w:hint="eastAsia" w:ascii="仿宋_GB2312" w:eastAsia="仿宋_GB2312"/>
                <w:spacing w:val="-6"/>
                <w:sz w:val="24"/>
              </w:rPr>
              <w:t>经营时间</w:t>
            </w:r>
          </w:p>
        </w:tc>
        <w:tc>
          <w:tcPr>
            <w:tcW w:w="389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left"/>
              <w:rPr>
                <w:rFonts w:hint="eastAsia" w:ascii="仿宋_GB2312" w:eastAsia="仿宋_GB2312"/>
                <w:spacing w:val="-6"/>
                <w:sz w:val="24"/>
              </w:rPr>
            </w:pPr>
            <w:r>
              <w:rPr>
                <w:rFonts w:hint="eastAsia" w:ascii="仿宋_GB2312" w:eastAsia="仿宋_GB2312"/>
                <w:spacing w:val="-6"/>
                <w:sz w:val="24"/>
              </w:rPr>
              <w:t>在现营业场所正常营业3个月及以上。</w:t>
            </w:r>
          </w:p>
        </w:tc>
        <w:tc>
          <w:tcPr>
            <w:tcW w:w="65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hint="eastAsia" w:ascii="仿宋_GB2312" w:eastAsia="仿宋_GB2312"/>
                <w:spacing w:val="-6"/>
                <w:sz w:val="24"/>
              </w:rPr>
            </w:pPr>
            <w:r>
              <w:rPr>
                <w:rFonts w:hint="eastAsia" w:ascii="仿宋_GB2312" w:eastAsia="仿宋_GB2312"/>
                <w:spacing w:val="-6"/>
                <w:sz w:val="24"/>
              </w:rPr>
              <w:t>5</w:t>
            </w:r>
          </w:p>
        </w:tc>
        <w:tc>
          <w:tcPr>
            <w:tcW w:w="414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left"/>
              <w:rPr>
                <w:rFonts w:hint="eastAsia" w:ascii="仿宋_GB2312" w:hAnsi="Calibri" w:eastAsia="仿宋_GB2312" w:cs="Arial"/>
                <w:spacing w:val="-6"/>
                <w:sz w:val="24"/>
              </w:rPr>
            </w:pPr>
            <w:r>
              <w:rPr>
                <w:rFonts w:hint="eastAsia" w:ascii="仿宋_GB2312" w:hAnsi="Calibri" w:eastAsia="仿宋_GB2312" w:cs="Arial"/>
                <w:spacing w:val="-6"/>
                <w:sz w:val="24"/>
                <w:szCs w:val="24"/>
                <w:shd w:val="clear"/>
              </w:rPr>
              <w:t>查验</w:t>
            </w:r>
            <w:r>
              <w:rPr>
                <w:rFonts w:hint="eastAsia" w:ascii="仿宋_GB2312" w:hAnsi="Calibri" w:eastAsia="仿宋_GB2312" w:cs="Arial"/>
                <w:spacing w:val="-6"/>
                <w:sz w:val="24"/>
              </w:rPr>
              <w:t>申请机构</w:t>
            </w:r>
            <w:r>
              <w:rPr>
                <w:rFonts w:hint="eastAsia" w:ascii="仿宋_GB2312" w:hAnsi="Calibri" w:eastAsia="仿宋_GB2312" w:cs="Arial"/>
                <w:spacing w:val="-6"/>
                <w:sz w:val="24"/>
                <w:szCs w:val="24"/>
                <w:shd w:val="clear"/>
              </w:rPr>
              <w:t>《</w:t>
            </w:r>
            <w:r>
              <w:rPr>
                <w:rFonts w:hint="eastAsia" w:ascii="仿宋_GB2312" w:hAnsi="Calibri" w:eastAsia="仿宋_GB2312" w:cs="Arial"/>
                <w:spacing w:val="-6"/>
                <w:sz w:val="24"/>
              </w:rPr>
              <w:t>医疗机构执业许可证》或《养老机构设立许可证》和《事业单位法人证书》或《民办非企业单位登记证书》或《营业执照》副本原件及复印件及营业情况，正常营业3个月及以上的，得5分；正常营业不到3个月的，不得分。</w:t>
            </w:r>
          </w:p>
        </w:tc>
        <w:tc>
          <w:tcPr>
            <w:tcW w:w="150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hint="eastAsia" w:ascii="仿宋_GB2312" w:eastAsia="仿宋_GB2312"/>
                <w:spacing w:val="-6"/>
                <w:sz w:val="24"/>
              </w:rPr>
            </w:pPr>
            <w:r>
              <w:rPr>
                <w:rFonts w:hint="eastAsia" w:ascii="仿宋_GB2312" w:eastAsia="仿宋_GB2312"/>
                <w:spacing w:val="-6"/>
                <w:sz w:val="24"/>
              </w:rPr>
              <w:t>2</w:t>
            </w:r>
          </w:p>
        </w:tc>
        <w:tc>
          <w:tcPr>
            <w:tcW w:w="1766"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hint="eastAsia" w:ascii="仿宋_GB2312" w:eastAsia="仿宋_GB2312"/>
                <w:spacing w:val="-6"/>
                <w:sz w:val="24"/>
              </w:rPr>
            </w:pPr>
            <w:r>
              <w:rPr>
                <w:rFonts w:hint="eastAsia" w:ascii="仿宋_GB2312" w:eastAsia="仿宋_GB2312"/>
                <w:spacing w:val="-6"/>
                <w:sz w:val="24"/>
              </w:rPr>
              <w:t>经营场所</w:t>
            </w:r>
          </w:p>
        </w:tc>
        <w:tc>
          <w:tcPr>
            <w:tcW w:w="389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left"/>
              <w:rPr>
                <w:rFonts w:hint="eastAsia" w:ascii="仿宋_GB2312" w:eastAsia="仿宋_GB2312"/>
                <w:spacing w:val="-6"/>
                <w:sz w:val="24"/>
              </w:rPr>
            </w:pPr>
            <w:r>
              <w:rPr>
                <w:rFonts w:hint="eastAsia" w:ascii="仿宋_GB2312" w:eastAsia="仿宋_GB2312"/>
                <w:spacing w:val="-6"/>
                <w:sz w:val="24"/>
              </w:rPr>
              <w:t>设置合理的经营场所，基本设施配备齐全。</w:t>
            </w:r>
          </w:p>
        </w:tc>
        <w:tc>
          <w:tcPr>
            <w:tcW w:w="65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hint="eastAsia" w:ascii="仿宋_GB2312" w:eastAsia="仿宋_GB2312"/>
                <w:spacing w:val="-6"/>
                <w:sz w:val="24"/>
              </w:rPr>
            </w:pPr>
            <w:r>
              <w:rPr>
                <w:rFonts w:hint="eastAsia" w:ascii="仿宋_GB2312" w:eastAsia="仿宋_GB2312"/>
                <w:spacing w:val="-6"/>
                <w:sz w:val="24"/>
              </w:rPr>
              <w:t>10</w:t>
            </w:r>
          </w:p>
        </w:tc>
        <w:tc>
          <w:tcPr>
            <w:tcW w:w="4145"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Calibri" w:eastAsia="仿宋_GB2312" w:cs="Arial"/>
                <w:spacing w:val="-6"/>
                <w:kern w:val="2"/>
                <w:sz w:val="24"/>
              </w:rPr>
            </w:pPr>
            <w:r>
              <w:rPr>
                <w:rFonts w:hint="eastAsia" w:ascii="仿宋_GB2312" w:eastAsia="仿宋_GB2312" w:cs="Arial"/>
                <w:spacing w:val="-6"/>
                <w:kern w:val="2"/>
                <w:sz w:val="24"/>
                <w:lang w:val="en-US" w:eastAsia="zh-CN"/>
              </w:rPr>
              <w:t>1.</w:t>
            </w:r>
            <w:r>
              <w:rPr>
                <w:rFonts w:hint="eastAsia" w:ascii="仿宋_GB2312" w:hAnsi="Calibri" w:eastAsia="仿宋_GB2312" w:cs="Arial"/>
                <w:spacing w:val="-6"/>
                <w:kern w:val="2"/>
                <w:sz w:val="24"/>
              </w:rPr>
              <w:t>护</w:t>
            </w:r>
            <w:r>
              <w:rPr>
                <w:rFonts w:hint="eastAsia" w:ascii="仿宋_GB2312" w:hAnsi="Calibri" w:eastAsia="仿宋_GB2312" w:cs="Arial"/>
                <w:spacing w:val="-6"/>
                <w:kern w:val="2"/>
                <w:sz w:val="24"/>
              </w:rPr>
              <w:t>理区、办公区、档案室、物资区等各区域</w:t>
            </w:r>
            <w:r>
              <w:rPr>
                <w:rFonts w:hint="eastAsia" w:ascii="仿宋_GB2312" w:hAnsi="Calibri" w:eastAsia="仿宋_GB2312" w:cs="Arial"/>
                <w:spacing w:val="-6"/>
                <w:sz w:val="24"/>
              </w:rPr>
              <w:t>设置合</w:t>
            </w:r>
            <w:r>
              <w:rPr>
                <w:rFonts w:hint="eastAsia" w:ascii="仿宋_GB2312" w:hAnsi="Calibri" w:eastAsia="仿宋_GB2312" w:cs="Arial"/>
                <w:spacing w:val="-6"/>
                <w:kern w:val="2"/>
                <w:sz w:val="24"/>
              </w:rPr>
              <w:t>理的，得5分；</w:t>
            </w:r>
            <w:r>
              <w:rPr>
                <w:rFonts w:hint="eastAsia" w:ascii="仿宋_GB2312" w:hAnsi="Calibri" w:eastAsia="仿宋_GB2312" w:cs="Arial"/>
                <w:spacing w:val="-6"/>
                <w:kern w:val="2"/>
                <w:sz w:val="24"/>
              </w:rPr>
              <w:br w:type="textWrapping"/>
            </w:r>
            <w:r>
              <w:rPr>
                <w:rFonts w:hint="eastAsia" w:ascii="仿宋_GB2312" w:hAnsi="Calibri" w:eastAsia="仿宋_GB2312" w:cs="Arial"/>
                <w:spacing w:val="-6"/>
                <w:kern w:val="2"/>
                <w:sz w:val="24"/>
              </w:rPr>
              <w:t>2.档案室符合管理要求，有专人管理、固定存放区域，且档案标识清楚、资料齐全的，得3分；</w:t>
            </w:r>
            <w:r>
              <w:rPr>
                <w:rFonts w:hint="eastAsia" w:ascii="仿宋_GB2312" w:hAnsi="Calibri" w:eastAsia="仿宋_GB2312" w:cs="Arial"/>
                <w:spacing w:val="-6"/>
                <w:kern w:val="2"/>
                <w:sz w:val="24"/>
              </w:rPr>
              <w:br w:type="textWrapping"/>
            </w:r>
            <w:r>
              <w:rPr>
                <w:rFonts w:hint="eastAsia" w:ascii="仿宋_GB2312" w:hAnsi="Calibri" w:eastAsia="仿宋_GB2312" w:cs="Arial"/>
                <w:spacing w:val="-6"/>
                <w:kern w:val="2"/>
                <w:sz w:val="24"/>
              </w:rPr>
              <w:t>3.实行电子化档案管理的，得2分；</w:t>
            </w:r>
          </w:p>
          <w:p>
            <w:pPr>
              <w:spacing w:line="380" w:lineRule="exact"/>
              <w:jc w:val="left"/>
              <w:rPr>
                <w:rFonts w:hint="eastAsia" w:ascii="仿宋_GB2312" w:hAnsi="Calibri" w:eastAsia="仿宋_GB2312" w:cs="Arial"/>
                <w:spacing w:val="-6"/>
                <w:sz w:val="24"/>
              </w:rPr>
            </w:pPr>
            <w:r>
              <w:rPr>
                <w:rFonts w:hint="eastAsia" w:ascii="仿宋_GB2312" w:hAnsi="Calibri" w:eastAsia="仿宋_GB2312" w:cs="Arial"/>
                <w:spacing w:val="-6"/>
                <w:kern w:val="2"/>
                <w:sz w:val="24"/>
              </w:rPr>
              <w:t>4.基本符合上述要求，但不够完善的，酌情扣分。</w:t>
            </w:r>
          </w:p>
        </w:tc>
        <w:tc>
          <w:tcPr>
            <w:tcW w:w="150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r>
              <w:rPr>
                <w:rFonts w:hint="eastAsia" w:ascii="仿宋_GB2312" w:eastAsia="仿宋_GB2312"/>
                <w:sz w:val="24"/>
              </w:rPr>
              <w:t>3</w:t>
            </w:r>
          </w:p>
        </w:tc>
        <w:tc>
          <w:tcPr>
            <w:tcW w:w="1766"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pacing w:val="-6"/>
                <w:sz w:val="24"/>
              </w:rPr>
            </w:pPr>
            <w:r>
              <w:rPr>
                <w:rFonts w:hint="eastAsia" w:ascii="仿宋_GB2312" w:eastAsia="仿宋_GB2312"/>
                <w:spacing w:val="-6"/>
                <w:sz w:val="24"/>
              </w:rPr>
              <w:t>机构护理</w:t>
            </w:r>
          </w:p>
        </w:tc>
        <w:tc>
          <w:tcPr>
            <w:tcW w:w="389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left"/>
              <w:rPr>
                <w:rFonts w:ascii="仿宋_GB2312" w:eastAsia="仿宋_GB2312"/>
                <w:spacing w:val="-6"/>
                <w:sz w:val="24"/>
              </w:rPr>
            </w:pPr>
            <w:r>
              <w:rPr>
                <w:rFonts w:hint="eastAsia" w:ascii="仿宋_GB2312" w:eastAsia="仿宋_GB2312"/>
                <w:spacing w:val="-6"/>
                <w:sz w:val="24"/>
              </w:rPr>
              <w:t>养老机构应设有内设医疗机构或与医保定点医疗机构签订有医养合作服务协议。</w:t>
            </w:r>
          </w:p>
          <w:p>
            <w:pPr>
              <w:overflowPunct w:val="0"/>
              <w:spacing w:line="380" w:lineRule="exact"/>
              <w:jc w:val="left"/>
              <w:rPr>
                <w:rFonts w:ascii="仿宋_GB2312" w:eastAsia="仿宋_GB2312"/>
                <w:spacing w:val="-6"/>
                <w:sz w:val="24"/>
              </w:rPr>
            </w:pPr>
            <w:r>
              <w:rPr>
                <w:rFonts w:hint="eastAsia" w:ascii="仿宋_GB2312" w:eastAsia="仿宋_GB2312"/>
                <w:spacing w:val="-6"/>
                <w:sz w:val="24"/>
              </w:rPr>
              <w:t>医疗机构应为二级及以下医保定点医疗机构。</w:t>
            </w:r>
          </w:p>
        </w:tc>
        <w:tc>
          <w:tcPr>
            <w:tcW w:w="65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r>
              <w:rPr>
                <w:rFonts w:hint="eastAsia" w:ascii="仿宋_GB2312" w:eastAsia="仿宋_GB2312"/>
                <w:sz w:val="24"/>
              </w:rPr>
              <w:t>10</w:t>
            </w:r>
          </w:p>
        </w:tc>
        <w:tc>
          <w:tcPr>
            <w:tcW w:w="414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rPr>
                <w:rFonts w:ascii="仿宋_GB2312" w:eastAsia="仿宋_GB2312"/>
                <w:spacing w:val="-6"/>
                <w:sz w:val="24"/>
              </w:rPr>
            </w:pPr>
            <w:r>
              <w:rPr>
                <w:rFonts w:hint="eastAsia" w:ascii="仿宋_GB2312" w:eastAsia="仿宋_GB2312"/>
                <w:spacing w:val="-6"/>
                <w:sz w:val="24"/>
              </w:rPr>
              <w:t>1.查验医疗机构执业许可证副本原件及复印件，签订医养合作服务协议的还需提供协</w:t>
            </w:r>
            <w:bookmarkStart w:id="0" w:name="_GoBack"/>
            <w:bookmarkEnd w:id="0"/>
            <w:r>
              <w:rPr>
                <w:rFonts w:hint="eastAsia" w:ascii="仿宋_GB2312" w:eastAsia="仿宋_GB2312"/>
                <w:spacing w:val="-6"/>
                <w:sz w:val="24"/>
              </w:rPr>
              <w:t>议原件及复印件，符合要求的，得8分；</w:t>
            </w:r>
          </w:p>
          <w:p>
            <w:pPr>
              <w:overflowPunct w:val="0"/>
              <w:spacing w:line="380" w:lineRule="exact"/>
              <w:rPr>
                <w:rFonts w:ascii="仿宋_GB2312" w:hAnsi="仿宋_GB2312" w:eastAsia="仿宋_GB2312" w:cs="仿宋_GB2312"/>
                <w:sz w:val="24"/>
              </w:rPr>
            </w:pPr>
            <w:r>
              <w:rPr>
                <w:rFonts w:hint="eastAsia" w:ascii="仿宋_GB2312" w:eastAsia="仿宋_GB2312"/>
                <w:spacing w:val="-6"/>
                <w:sz w:val="24"/>
              </w:rPr>
              <w:t>2.</w:t>
            </w:r>
            <w:r>
              <w:rPr>
                <w:rFonts w:hint="eastAsia" w:ascii="仿宋_GB2312" w:hAnsi="仿宋_GB2312" w:eastAsia="仿宋_GB2312" w:cs="仿宋_GB2312"/>
                <w:color w:val="000000"/>
                <w:kern w:val="0"/>
                <w:sz w:val="24"/>
              </w:rPr>
              <w:t>内设医疗机构为医保定点机构的，得2分。</w:t>
            </w:r>
          </w:p>
        </w:tc>
        <w:tc>
          <w:tcPr>
            <w:tcW w:w="150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r>
              <w:rPr>
                <w:rFonts w:hint="eastAsia" w:ascii="仿宋_GB2312" w:eastAsia="仿宋_GB2312"/>
                <w:sz w:val="24"/>
              </w:rPr>
              <w:t>4</w:t>
            </w:r>
          </w:p>
        </w:tc>
        <w:tc>
          <w:tcPr>
            <w:tcW w:w="1766"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pacing w:val="-6"/>
                <w:sz w:val="24"/>
              </w:rPr>
            </w:pPr>
            <w:r>
              <w:rPr>
                <w:rFonts w:hint="eastAsia" w:ascii="仿宋_GB2312" w:eastAsia="仿宋_GB2312"/>
                <w:spacing w:val="-6"/>
                <w:sz w:val="24"/>
              </w:rPr>
              <w:t>制度建设</w:t>
            </w:r>
          </w:p>
        </w:tc>
        <w:tc>
          <w:tcPr>
            <w:tcW w:w="389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left"/>
              <w:rPr>
                <w:rFonts w:ascii="仿宋_GB2312" w:eastAsia="仿宋_GB2312"/>
                <w:spacing w:val="-6"/>
                <w:sz w:val="24"/>
              </w:rPr>
            </w:pPr>
            <w:r>
              <w:rPr>
                <w:rFonts w:hint="eastAsia" w:ascii="仿宋_GB2312" w:eastAsia="仿宋_GB2312"/>
                <w:spacing w:val="-6"/>
                <w:sz w:val="24"/>
              </w:rPr>
              <w:t>配备不少于</w:t>
            </w:r>
            <w:r>
              <w:rPr>
                <w:rFonts w:ascii="仿宋_GB2312" w:eastAsia="仿宋_GB2312"/>
                <w:spacing w:val="-6"/>
                <w:sz w:val="24"/>
              </w:rPr>
              <w:t>1名长</w:t>
            </w:r>
            <w:r>
              <w:rPr>
                <w:rFonts w:hint="eastAsia" w:ascii="仿宋_GB2312" w:eastAsia="仿宋_GB2312"/>
                <w:spacing w:val="-6"/>
                <w:sz w:val="24"/>
              </w:rPr>
              <w:t>护保险</w:t>
            </w:r>
            <w:r>
              <w:rPr>
                <w:rFonts w:ascii="仿宋_GB2312" w:eastAsia="仿宋_GB2312"/>
                <w:spacing w:val="-6"/>
                <w:sz w:val="24"/>
              </w:rPr>
              <w:t>专职管理人员，服务能力在100人以上的应成立专门管理科室。建立规范的长护</w:t>
            </w:r>
            <w:r>
              <w:rPr>
                <w:rFonts w:hint="eastAsia" w:ascii="仿宋_GB2312" w:eastAsia="仿宋_GB2312"/>
                <w:spacing w:val="-6"/>
                <w:sz w:val="24"/>
              </w:rPr>
              <w:t>保险</w:t>
            </w:r>
            <w:r>
              <w:rPr>
                <w:rFonts w:ascii="仿宋_GB2312" w:eastAsia="仿宋_GB2312"/>
                <w:spacing w:val="-6"/>
                <w:sz w:val="24"/>
              </w:rPr>
              <w:t>内部管理制度。财务管理、信息系统建设符合长护保险结算管理要求，配备相应的专业技术人员</w:t>
            </w:r>
            <w:r>
              <w:rPr>
                <w:rFonts w:hint="eastAsia" w:ascii="仿宋_GB2312" w:eastAsia="仿宋_GB2312"/>
                <w:spacing w:val="-6"/>
                <w:sz w:val="24"/>
              </w:rPr>
              <w:t>。</w:t>
            </w:r>
          </w:p>
        </w:tc>
        <w:tc>
          <w:tcPr>
            <w:tcW w:w="65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r>
              <w:rPr>
                <w:rFonts w:hint="eastAsia" w:ascii="仿宋_GB2312" w:eastAsia="仿宋_GB2312"/>
                <w:sz w:val="24"/>
              </w:rPr>
              <w:t>10</w:t>
            </w:r>
          </w:p>
        </w:tc>
        <w:tc>
          <w:tcPr>
            <w:tcW w:w="4145" w:type="dxa"/>
            <w:tcBorders>
              <w:top w:val="single" w:color="auto" w:sz="4" w:space="0"/>
              <w:left w:val="single" w:color="auto" w:sz="4" w:space="0"/>
              <w:bottom w:val="single" w:color="auto" w:sz="4" w:space="0"/>
              <w:right w:val="single" w:color="auto" w:sz="4" w:space="0"/>
            </w:tcBorders>
            <w:vAlign w:val="center"/>
          </w:tcPr>
          <w:p>
            <w:pPr>
              <w:numPr>
                <w:ilvl w:val="-1"/>
                <w:numId w:val="0"/>
              </w:numPr>
              <w:overflowPunct w:val="0"/>
              <w:spacing w:line="38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1.</w:t>
            </w:r>
            <w:r>
              <w:rPr>
                <w:rFonts w:hint="eastAsia" w:ascii="仿宋_GB2312" w:hAnsi="仿宋_GB2312" w:eastAsia="仿宋_GB2312" w:cs="仿宋_GB2312"/>
                <w:color w:val="000000"/>
                <w:kern w:val="0"/>
                <w:sz w:val="24"/>
              </w:rPr>
              <w:t>有完善且符合本机构实际的内部管理制度，包括但不限于</w:t>
            </w:r>
            <w:r>
              <w:rPr>
                <w:rFonts w:ascii="仿宋_GB2312" w:hAnsi="仿宋_GB2312" w:eastAsia="仿宋_GB2312" w:cs="仿宋_GB2312"/>
                <w:color w:val="000000"/>
                <w:kern w:val="0"/>
                <w:sz w:val="24"/>
              </w:rPr>
              <w:t>人员管理、</w:t>
            </w:r>
            <w:r>
              <w:rPr>
                <w:rFonts w:hint="eastAsia" w:ascii="仿宋_GB2312" w:hAnsi="仿宋_GB2312" w:eastAsia="仿宋_GB2312" w:cs="仿宋_GB2312"/>
                <w:color w:val="000000"/>
                <w:kern w:val="0"/>
                <w:sz w:val="24"/>
              </w:rPr>
              <w:t>服务管理、财务管理、信息管理、内部考评、知情同意</w:t>
            </w:r>
            <w:r>
              <w:rPr>
                <w:rFonts w:ascii="仿宋_GB2312" w:hAnsi="仿宋_GB2312" w:eastAsia="仿宋_GB2312" w:cs="仿宋_GB2312"/>
                <w:color w:val="000000"/>
                <w:kern w:val="0"/>
                <w:sz w:val="24"/>
              </w:rPr>
              <w:t>、护理档案管理</w:t>
            </w:r>
            <w:r>
              <w:rPr>
                <w:rFonts w:hint="eastAsia" w:ascii="仿宋_GB2312" w:hAnsi="仿宋_GB2312" w:eastAsia="仿宋_GB2312" w:cs="仿宋_GB2312"/>
                <w:color w:val="000000"/>
                <w:kern w:val="0"/>
                <w:sz w:val="24"/>
              </w:rPr>
              <w:t>等制度的，得5分；无</w:t>
            </w:r>
            <w:r>
              <w:rPr>
                <w:rFonts w:ascii="仿宋_GB2312" w:hAnsi="仿宋_GB2312" w:eastAsia="仿宋_GB2312" w:cs="仿宋_GB2312"/>
                <w:color w:val="000000"/>
                <w:kern w:val="0"/>
                <w:sz w:val="24"/>
              </w:rPr>
              <w:t>相应制度或制度不</w:t>
            </w:r>
            <w:r>
              <w:rPr>
                <w:rFonts w:hint="eastAsia" w:ascii="仿宋_GB2312" w:hAnsi="仿宋_GB2312" w:eastAsia="仿宋_GB2312" w:cs="仿宋_GB2312"/>
                <w:color w:val="000000"/>
                <w:kern w:val="0"/>
                <w:sz w:val="24"/>
              </w:rPr>
              <w:t>符要求</w:t>
            </w:r>
            <w:r>
              <w:rPr>
                <w:rFonts w:ascii="仿宋_GB2312" w:hAnsi="仿宋_GB2312" w:eastAsia="仿宋_GB2312" w:cs="仿宋_GB2312"/>
                <w:color w:val="000000"/>
                <w:kern w:val="0"/>
                <w:sz w:val="24"/>
              </w:rPr>
              <w:t>的，每个扣1分，扣完为止</w:t>
            </w:r>
            <w:r>
              <w:rPr>
                <w:rFonts w:hint="eastAsia" w:ascii="仿宋_GB2312" w:hAnsi="仿宋_GB2312" w:eastAsia="仿宋_GB2312" w:cs="仿宋_GB2312"/>
                <w:color w:val="000000"/>
                <w:kern w:val="0"/>
                <w:sz w:val="24"/>
              </w:rPr>
              <w:t>；</w:t>
            </w:r>
          </w:p>
          <w:p>
            <w:pPr>
              <w:numPr>
                <w:ilvl w:val="-1"/>
                <w:numId w:val="0"/>
              </w:numPr>
              <w:overflowPunct w:val="0"/>
              <w:spacing w:line="38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2.</w:t>
            </w:r>
            <w:r>
              <w:rPr>
                <w:rFonts w:hint="eastAsia" w:ascii="仿宋_GB2312" w:hAnsi="仿宋_GB2312" w:eastAsia="仿宋_GB2312" w:cs="仿宋_GB2312"/>
                <w:color w:val="000000"/>
                <w:kern w:val="0"/>
                <w:sz w:val="24"/>
              </w:rPr>
              <w:t>配备长护专职管理人员（</w:t>
            </w:r>
            <w:r>
              <w:rPr>
                <w:rFonts w:ascii="仿宋_GB2312" w:eastAsia="仿宋_GB2312"/>
                <w:spacing w:val="-6"/>
                <w:sz w:val="24"/>
              </w:rPr>
              <w:t>服务能力在100人以上的成立专门管理科室</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，得1分；配备</w:t>
            </w:r>
            <w:r>
              <w:rPr>
                <w:rFonts w:hint="eastAsia" w:ascii="仿宋_GB2312" w:hAnsi="仿宋_GB2312" w:eastAsia="仿宋_GB2312" w:cs="仿宋_GB2312"/>
                <w:color w:val="000000"/>
                <w:kern w:val="0"/>
                <w:sz w:val="24"/>
              </w:rPr>
              <w:t>专（兼）职财务、信息系统管理人员</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得</w:t>
            </w: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分；</w:t>
            </w:r>
          </w:p>
          <w:p>
            <w:pPr>
              <w:overflowPunct w:val="0"/>
              <w:spacing w:line="380" w:lineRule="exact"/>
              <w:jc w:val="left"/>
              <w:rPr>
                <w:rFonts w:ascii="仿宋_GB2312" w:hAnsi="仿宋_GB2312" w:eastAsia="仿宋_GB2312" w:cs="仿宋_GB2312"/>
                <w:sz w:val="24"/>
              </w:rPr>
            </w:pPr>
            <w:r>
              <w:rPr>
                <w:rFonts w:hint="eastAsia" w:ascii="仿宋_GB2312" w:hAnsi="仿宋_GB2312" w:eastAsia="仿宋_GB2312" w:cs="仿宋_GB2312"/>
                <w:color w:val="000000"/>
                <w:kern w:val="0"/>
                <w:sz w:val="24"/>
              </w:rPr>
              <w:t>3.长护专职管理员（</w:t>
            </w:r>
            <w:r>
              <w:rPr>
                <w:rFonts w:hint="default" w:ascii="仿宋_GB2312" w:hAnsi="仿宋_GB2312" w:eastAsia="仿宋_GB2312" w:cs="仿宋_GB2312"/>
                <w:color w:val="000000"/>
                <w:kern w:val="0"/>
                <w:sz w:val="24"/>
              </w:rPr>
              <w:t>护理、</w:t>
            </w:r>
            <w:r>
              <w:rPr>
                <w:rFonts w:hint="eastAsia" w:ascii="仿宋_GB2312" w:hAnsi="仿宋_GB2312" w:eastAsia="仿宋_GB2312" w:cs="仿宋_GB2312"/>
                <w:color w:val="000000"/>
                <w:kern w:val="0"/>
                <w:sz w:val="24"/>
              </w:rPr>
              <w:t>财务、信息系统管理</w:t>
            </w:r>
            <w:r>
              <w:rPr>
                <w:rFonts w:hint="default" w:ascii="仿宋_GB2312" w:hAnsi="仿宋_GB2312" w:eastAsia="仿宋_GB2312" w:cs="仿宋_GB2312"/>
                <w:color w:val="000000"/>
                <w:kern w:val="0"/>
                <w:sz w:val="24"/>
              </w:rPr>
              <w:t>等</w:t>
            </w:r>
            <w:r>
              <w:rPr>
                <w:rFonts w:hint="eastAsia" w:ascii="仿宋_GB2312" w:hAnsi="仿宋_GB2312" w:eastAsia="仿宋_GB2312" w:cs="仿宋_GB2312"/>
                <w:color w:val="000000"/>
                <w:kern w:val="0"/>
                <w:sz w:val="24"/>
              </w:rPr>
              <w:t>）有相应专业技术资格证书的（护士</w:t>
            </w:r>
            <w:r>
              <w:rPr>
                <w:rFonts w:ascii="仿宋_GB2312" w:hAnsi="仿宋_GB2312" w:eastAsia="仿宋_GB2312" w:cs="仿宋_GB2312"/>
                <w:color w:val="000000"/>
                <w:kern w:val="0"/>
                <w:sz w:val="24"/>
              </w:rPr>
              <w:t>执业证书</w:t>
            </w:r>
            <w:r>
              <w:rPr>
                <w:rFonts w:hint="eastAsia" w:ascii="仿宋_GB2312" w:hAnsi="仿宋_GB2312" w:eastAsia="仿宋_GB2312" w:cs="仿宋_GB2312"/>
                <w:color w:val="000000"/>
                <w:kern w:val="0"/>
                <w:sz w:val="24"/>
              </w:rPr>
              <w:t>、会计证、网络与信息安全管理员证</w:t>
            </w:r>
            <w:r>
              <w:rPr>
                <w:rFonts w:ascii="仿宋_GB2312" w:hAnsi="仿宋_GB2312" w:eastAsia="仿宋_GB2312" w:cs="仿宋_GB2312"/>
                <w:color w:val="000000"/>
                <w:kern w:val="0"/>
                <w:sz w:val="24"/>
              </w:rPr>
              <w:t>等</w:t>
            </w:r>
            <w:r>
              <w:rPr>
                <w:rFonts w:hint="eastAsia" w:ascii="仿宋_GB2312" w:hAnsi="仿宋_GB2312" w:eastAsia="仿宋_GB2312" w:cs="仿宋_GB2312"/>
                <w:color w:val="000000"/>
                <w:kern w:val="0"/>
                <w:sz w:val="24"/>
              </w:rPr>
              <w:t>）且在本单位参保的，得3分</w:t>
            </w:r>
            <w:r>
              <w:rPr>
                <w:rFonts w:ascii="仿宋_GB2312" w:hAnsi="仿宋_GB2312" w:eastAsia="仿宋_GB2312" w:cs="仿宋_GB2312"/>
                <w:color w:val="000000"/>
                <w:kern w:val="0"/>
                <w:sz w:val="24"/>
              </w:rPr>
              <w:t>，每少一个扣1分</w:t>
            </w:r>
            <w:r>
              <w:rPr>
                <w:rFonts w:hint="eastAsia" w:ascii="仿宋_GB2312" w:hAnsi="仿宋_GB2312" w:eastAsia="仿宋_GB2312" w:cs="仿宋_GB2312"/>
                <w:color w:val="000000"/>
                <w:kern w:val="0"/>
                <w:sz w:val="24"/>
              </w:rPr>
              <w:t>。</w:t>
            </w:r>
          </w:p>
        </w:tc>
        <w:tc>
          <w:tcPr>
            <w:tcW w:w="150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r>
              <w:rPr>
                <w:rFonts w:hint="eastAsia" w:ascii="仿宋_GB2312" w:eastAsia="仿宋_GB2312"/>
                <w:sz w:val="24"/>
              </w:rPr>
              <w:t>5</w:t>
            </w:r>
          </w:p>
        </w:tc>
        <w:tc>
          <w:tcPr>
            <w:tcW w:w="1766"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pacing w:val="-6"/>
                <w:sz w:val="24"/>
              </w:rPr>
            </w:pPr>
            <w:r>
              <w:rPr>
                <w:rFonts w:hint="eastAsia" w:ascii="仿宋_GB2312" w:eastAsia="仿宋_GB2312"/>
                <w:spacing w:val="-6"/>
                <w:sz w:val="24"/>
              </w:rPr>
              <w:t>财务管理</w:t>
            </w:r>
          </w:p>
        </w:tc>
        <w:tc>
          <w:tcPr>
            <w:tcW w:w="389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left"/>
              <w:rPr>
                <w:rFonts w:ascii="仿宋_GB2312" w:eastAsia="仿宋_GB2312"/>
                <w:spacing w:val="-6"/>
                <w:sz w:val="24"/>
              </w:rPr>
            </w:pPr>
            <w:r>
              <w:rPr>
                <w:rFonts w:hint="eastAsia" w:ascii="仿宋_GB2312" w:eastAsia="仿宋_GB2312"/>
                <w:spacing w:val="-6"/>
                <w:sz w:val="24"/>
              </w:rPr>
              <w:t>依照法律、法规和国务院财政部门的规定建立财务、会计制度；建立无坐支现金、收入支出均和金融机构关联的财务制度。</w:t>
            </w:r>
          </w:p>
        </w:tc>
        <w:tc>
          <w:tcPr>
            <w:tcW w:w="65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r>
              <w:rPr>
                <w:rFonts w:hint="eastAsia" w:ascii="仿宋_GB2312" w:eastAsia="仿宋_GB2312"/>
                <w:sz w:val="24"/>
              </w:rPr>
              <w:t>10</w:t>
            </w:r>
          </w:p>
        </w:tc>
        <w:tc>
          <w:tcPr>
            <w:tcW w:w="414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lang w:val="en-US" w:eastAsia="zh-CN"/>
              </w:rPr>
              <w:t>1.</w:t>
            </w:r>
            <w:r>
              <w:rPr>
                <w:rFonts w:hint="eastAsia" w:ascii="仿宋_GB2312" w:hAnsi="仿宋_GB2312" w:eastAsia="仿宋_GB2312" w:cs="仿宋_GB2312"/>
                <w:color w:val="000000"/>
                <w:kern w:val="0"/>
                <w:sz w:val="24"/>
              </w:rPr>
              <w:t>有完善且符合本机构实际的</w:t>
            </w:r>
            <w:r>
              <w:rPr>
                <w:rFonts w:hint="eastAsia" w:ascii="仿宋_GB2312" w:eastAsia="仿宋_GB2312"/>
                <w:spacing w:val="-6"/>
                <w:sz w:val="24"/>
              </w:rPr>
              <w:t>财务、会计制度，包括但不限于</w:t>
            </w:r>
            <w:r>
              <w:rPr>
                <w:rFonts w:hint="eastAsia" w:ascii="仿宋_GB2312" w:hAnsi="仿宋_GB2312" w:eastAsia="仿宋_GB2312" w:cs="仿宋_GB2312"/>
                <w:sz w:val="24"/>
              </w:rPr>
              <w:t>岗位职责、现金管理、银行存款管理、基金使用、档案管理等制度的，得10分；</w:t>
            </w:r>
            <w:r>
              <w:rPr>
                <w:rFonts w:hint="eastAsia" w:ascii="仿宋_GB2312" w:hAnsi="仿宋_GB2312" w:eastAsia="仿宋_GB2312" w:cs="仿宋_GB2312"/>
                <w:color w:val="000000"/>
                <w:kern w:val="0"/>
                <w:sz w:val="24"/>
              </w:rPr>
              <w:t>无</w:t>
            </w:r>
            <w:r>
              <w:rPr>
                <w:rFonts w:ascii="仿宋_GB2312" w:hAnsi="仿宋_GB2312" w:eastAsia="仿宋_GB2312" w:cs="仿宋_GB2312"/>
                <w:color w:val="000000"/>
                <w:kern w:val="0"/>
                <w:sz w:val="24"/>
              </w:rPr>
              <w:t>相应制度或制度不</w:t>
            </w:r>
            <w:r>
              <w:rPr>
                <w:rFonts w:hint="eastAsia" w:ascii="仿宋_GB2312" w:hAnsi="仿宋_GB2312" w:eastAsia="仿宋_GB2312" w:cs="仿宋_GB2312"/>
                <w:color w:val="000000"/>
                <w:kern w:val="0"/>
                <w:sz w:val="24"/>
              </w:rPr>
              <w:t>符要求</w:t>
            </w:r>
            <w:r>
              <w:rPr>
                <w:rFonts w:ascii="仿宋_GB2312" w:hAnsi="仿宋_GB2312" w:eastAsia="仿宋_GB2312" w:cs="仿宋_GB2312"/>
                <w:color w:val="000000"/>
                <w:kern w:val="0"/>
                <w:sz w:val="24"/>
              </w:rPr>
              <w:t>的，每个扣</w:t>
            </w:r>
            <w:r>
              <w:rPr>
                <w:rFonts w:hint="eastAsia" w:ascii="仿宋_GB2312" w:hAnsi="仿宋_GB2312" w:eastAsia="仿宋_GB2312" w:cs="仿宋_GB2312"/>
                <w:color w:val="000000"/>
                <w:kern w:val="0"/>
                <w:sz w:val="24"/>
              </w:rPr>
              <w:t>2</w:t>
            </w:r>
            <w:r>
              <w:rPr>
                <w:rFonts w:ascii="仿宋_GB2312" w:hAnsi="仿宋_GB2312" w:eastAsia="仿宋_GB2312" w:cs="仿宋_GB2312"/>
                <w:color w:val="000000"/>
                <w:kern w:val="0"/>
                <w:sz w:val="24"/>
              </w:rPr>
              <w:t>分</w:t>
            </w:r>
            <w:r>
              <w:rPr>
                <w:rFonts w:hint="eastAsia" w:ascii="仿宋_GB2312" w:hAnsi="仿宋_GB2312" w:eastAsia="仿宋_GB2312" w:cs="仿宋_GB2312"/>
                <w:color w:val="000000"/>
                <w:kern w:val="0"/>
                <w:sz w:val="24"/>
              </w:rPr>
              <w:t>；</w:t>
            </w:r>
          </w:p>
          <w:p>
            <w:pPr>
              <w:overflowPunct w:val="0"/>
              <w:spacing w:line="380" w:lineRule="exact"/>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虽有制度但执行不到位，或未做到帐帐、帐实相符的，发现一例扣1分。</w:t>
            </w:r>
          </w:p>
        </w:tc>
        <w:tc>
          <w:tcPr>
            <w:tcW w:w="150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r>
              <w:rPr>
                <w:rFonts w:hint="eastAsia" w:ascii="仿宋_GB2312" w:eastAsia="仿宋_GB2312"/>
                <w:sz w:val="24"/>
              </w:rPr>
              <w:t>6</w:t>
            </w:r>
          </w:p>
        </w:tc>
        <w:tc>
          <w:tcPr>
            <w:tcW w:w="1766"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pacing w:val="-6"/>
                <w:sz w:val="24"/>
              </w:rPr>
            </w:pPr>
            <w:r>
              <w:rPr>
                <w:rFonts w:hint="eastAsia" w:ascii="仿宋_GB2312" w:eastAsia="仿宋_GB2312"/>
                <w:spacing w:val="-6"/>
                <w:sz w:val="24"/>
              </w:rPr>
              <w:t>护理区域设置</w:t>
            </w:r>
          </w:p>
        </w:tc>
        <w:tc>
          <w:tcPr>
            <w:tcW w:w="389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left"/>
              <w:rPr>
                <w:rFonts w:ascii="仿宋_GB2312" w:eastAsia="仿宋_GB2312"/>
                <w:spacing w:val="-6"/>
                <w:sz w:val="24"/>
              </w:rPr>
            </w:pPr>
            <w:r>
              <w:rPr>
                <w:rFonts w:hint="eastAsia" w:ascii="仿宋_GB2312" w:eastAsia="仿宋_GB2312"/>
                <w:spacing w:val="-6"/>
                <w:sz w:val="24"/>
              </w:rPr>
              <w:t>设置单独护理区域并有10张及以上护理床位。</w:t>
            </w:r>
          </w:p>
        </w:tc>
        <w:tc>
          <w:tcPr>
            <w:tcW w:w="65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r>
              <w:rPr>
                <w:rFonts w:hint="eastAsia" w:ascii="仿宋_GB2312" w:eastAsia="仿宋_GB2312"/>
                <w:sz w:val="24"/>
              </w:rPr>
              <w:t>15</w:t>
            </w:r>
          </w:p>
        </w:tc>
        <w:tc>
          <w:tcPr>
            <w:tcW w:w="414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1.护理区域单独设置，布局合理、环境舒适的，得10分；未单独设置护理区域的不得分。</w:t>
            </w:r>
          </w:p>
          <w:p>
            <w:pPr>
              <w:overflowPunct w:val="0"/>
              <w:spacing w:line="380" w:lineRule="exact"/>
              <w:jc w:val="left"/>
              <w:rPr>
                <w:rFonts w:ascii="仿宋_GB2312" w:eastAsia="仿宋_GB2312"/>
                <w:sz w:val="24"/>
              </w:rPr>
            </w:pPr>
            <w:r>
              <w:rPr>
                <w:rFonts w:hint="eastAsia" w:ascii="仿宋_GB2312" w:hAnsi="仿宋_GB2312" w:eastAsia="仿宋_GB2312" w:cs="仿宋_GB2312"/>
                <w:color w:val="000000"/>
                <w:kern w:val="0"/>
                <w:sz w:val="24"/>
              </w:rPr>
              <w:t>2.每增加一张床位得0.1分，最多得5分。</w:t>
            </w:r>
          </w:p>
        </w:tc>
        <w:tc>
          <w:tcPr>
            <w:tcW w:w="150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r>
              <w:rPr>
                <w:rFonts w:hint="eastAsia" w:ascii="仿宋_GB2312" w:eastAsia="仿宋_GB2312"/>
                <w:sz w:val="24"/>
              </w:rPr>
              <w:t>7</w:t>
            </w:r>
          </w:p>
        </w:tc>
        <w:tc>
          <w:tcPr>
            <w:tcW w:w="1766"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pacing w:val="-6"/>
                <w:sz w:val="24"/>
              </w:rPr>
            </w:pPr>
            <w:r>
              <w:rPr>
                <w:rFonts w:hint="eastAsia" w:ascii="仿宋_GB2312" w:eastAsia="仿宋_GB2312"/>
                <w:spacing w:val="-6"/>
                <w:sz w:val="24"/>
              </w:rPr>
              <w:t>信息系统</w:t>
            </w:r>
          </w:p>
        </w:tc>
        <w:tc>
          <w:tcPr>
            <w:tcW w:w="389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left"/>
              <w:rPr>
                <w:rFonts w:ascii="仿宋_GB2312" w:eastAsia="仿宋_GB2312"/>
                <w:spacing w:val="-6"/>
                <w:sz w:val="24"/>
              </w:rPr>
            </w:pPr>
            <w:r>
              <w:rPr>
                <w:rFonts w:hint="eastAsia" w:ascii="仿宋_GB2312" w:eastAsia="仿宋_GB2312"/>
                <w:spacing w:val="-6"/>
                <w:sz w:val="24"/>
              </w:rPr>
              <w:t>配备电脑设备，具备上网条件，可登录使用长护保险信息系统。</w:t>
            </w:r>
          </w:p>
        </w:tc>
        <w:tc>
          <w:tcPr>
            <w:tcW w:w="65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r>
              <w:rPr>
                <w:rFonts w:hint="eastAsia" w:ascii="仿宋_GB2312" w:eastAsia="仿宋_GB2312"/>
                <w:sz w:val="24"/>
              </w:rPr>
              <w:t>10</w:t>
            </w:r>
          </w:p>
        </w:tc>
        <w:tc>
          <w:tcPr>
            <w:tcW w:w="414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left"/>
              <w:rPr>
                <w:rFonts w:ascii="仿宋_GB2312" w:eastAsia="仿宋_GB2312"/>
                <w:sz w:val="24"/>
              </w:rPr>
            </w:pPr>
            <w:r>
              <w:rPr>
                <w:rFonts w:hint="eastAsia" w:ascii="仿宋_GB2312" w:eastAsia="仿宋_GB2312"/>
                <w:sz w:val="24"/>
              </w:rPr>
              <w:t>1.未配备电脑设备的，不得分；</w:t>
            </w:r>
          </w:p>
          <w:p>
            <w:pPr>
              <w:overflowPunct w:val="0"/>
              <w:spacing w:line="380" w:lineRule="exact"/>
              <w:jc w:val="left"/>
              <w:rPr>
                <w:rFonts w:hint="eastAsia" w:ascii="仿宋_GB2312" w:eastAsia="仿宋_GB2312"/>
                <w:sz w:val="24"/>
              </w:rPr>
            </w:pPr>
            <w:r>
              <w:rPr>
                <w:rFonts w:hint="eastAsia" w:ascii="仿宋_GB2312" w:eastAsia="仿宋_GB2312"/>
                <w:sz w:val="24"/>
              </w:rPr>
              <w:t>2.不能正常上网的，扣5分；</w:t>
            </w:r>
          </w:p>
          <w:p>
            <w:pPr>
              <w:overflowPunct w:val="0"/>
              <w:spacing w:line="380" w:lineRule="exact"/>
              <w:jc w:val="left"/>
              <w:rPr>
                <w:rFonts w:ascii="仿宋_GB2312" w:eastAsia="仿宋_GB2312"/>
                <w:sz w:val="24"/>
              </w:rPr>
            </w:pPr>
            <w:r>
              <w:rPr>
                <w:rFonts w:hint="eastAsia" w:ascii="仿宋_GB2312" w:eastAsia="仿宋_GB2312"/>
                <w:sz w:val="24"/>
              </w:rPr>
              <w:t>3.未制定</w:t>
            </w:r>
            <w:r>
              <w:rPr>
                <w:rFonts w:hint="eastAsia" w:ascii="仿宋_GB2312" w:hAnsi="仿宋_GB2312" w:eastAsia="仿宋_GB2312" w:cs="仿宋_GB2312"/>
                <w:color w:val="000000"/>
                <w:kern w:val="0"/>
                <w:sz w:val="24"/>
              </w:rPr>
              <w:t>完善且符合本机构实际的</w:t>
            </w:r>
            <w:r>
              <w:rPr>
                <w:rFonts w:hint="eastAsia" w:ascii="仿宋_GB2312" w:eastAsia="仿宋_GB2312"/>
                <w:sz w:val="24"/>
              </w:rPr>
              <w:t>信息网络安全管理相关制度的，扣2分。</w:t>
            </w:r>
          </w:p>
        </w:tc>
        <w:tc>
          <w:tcPr>
            <w:tcW w:w="150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r>
              <w:rPr>
                <w:rFonts w:hint="eastAsia" w:ascii="仿宋_GB2312" w:eastAsia="仿宋_GB2312"/>
                <w:sz w:val="24"/>
              </w:rPr>
              <w:t>8</w:t>
            </w:r>
          </w:p>
        </w:tc>
        <w:tc>
          <w:tcPr>
            <w:tcW w:w="1766"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pacing w:val="-6"/>
                <w:sz w:val="24"/>
              </w:rPr>
            </w:pPr>
            <w:r>
              <w:rPr>
                <w:rFonts w:hint="eastAsia" w:ascii="仿宋_GB2312" w:eastAsia="仿宋_GB2312"/>
                <w:spacing w:val="-6"/>
                <w:sz w:val="24"/>
              </w:rPr>
              <w:t>人员配备</w:t>
            </w:r>
          </w:p>
        </w:tc>
        <w:tc>
          <w:tcPr>
            <w:tcW w:w="389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eastAsia="仿宋_GB2312"/>
                <w:spacing w:val="-6"/>
                <w:sz w:val="24"/>
              </w:rPr>
            </w:pPr>
            <w:r>
              <w:rPr>
                <w:rFonts w:hint="eastAsia" w:ascii="仿宋_GB2312" w:eastAsia="仿宋_GB2312"/>
                <w:spacing w:val="-6"/>
                <w:sz w:val="24"/>
              </w:rPr>
              <w:t>养老机构：配备与长护保险护理服务相适应的医护人员以及护理服务人员</w:t>
            </w:r>
            <w:r>
              <w:rPr>
                <w:rFonts w:ascii="仿宋_GB2312" w:eastAsia="仿宋_GB2312"/>
                <w:spacing w:val="-6"/>
                <w:sz w:val="24"/>
              </w:rPr>
              <w:t>,</w:t>
            </w:r>
            <w:r>
              <w:rPr>
                <w:rFonts w:hint="eastAsia" w:ascii="仿宋_GB2312" w:eastAsia="仿宋_GB2312"/>
                <w:spacing w:val="-6"/>
                <w:sz w:val="24"/>
              </w:rPr>
              <w:t>长期</w:t>
            </w:r>
            <w:r>
              <w:rPr>
                <w:rFonts w:ascii="仿宋_GB2312" w:eastAsia="仿宋_GB2312"/>
                <w:spacing w:val="-6"/>
                <w:sz w:val="24"/>
              </w:rPr>
              <w:t>护理服务专区</w:t>
            </w:r>
            <w:r>
              <w:rPr>
                <w:rFonts w:hint="eastAsia" w:ascii="仿宋_GB2312" w:eastAsia="仿宋_GB2312"/>
                <w:spacing w:val="-6"/>
                <w:sz w:val="24"/>
              </w:rPr>
              <w:t>内的护理服务人员</w:t>
            </w:r>
            <w:r>
              <w:rPr>
                <w:rFonts w:ascii="仿宋_GB2312" w:eastAsia="仿宋_GB2312"/>
                <w:spacing w:val="-6"/>
                <w:sz w:val="24"/>
              </w:rPr>
              <w:t>与重度失能人员</w:t>
            </w:r>
            <w:r>
              <w:rPr>
                <w:rFonts w:hint="eastAsia" w:ascii="仿宋_GB2312" w:eastAsia="仿宋_GB2312"/>
                <w:spacing w:val="-6"/>
                <w:sz w:val="24"/>
              </w:rPr>
              <w:t>的</w:t>
            </w:r>
            <w:r>
              <w:rPr>
                <w:rFonts w:ascii="仿宋_GB2312" w:eastAsia="仿宋_GB2312"/>
                <w:spacing w:val="-6"/>
                <w:sz w:val="24"/>
              </w:rPr>
              <w:t>配比</w:t>
            </w:r>
            <w:r>
              <w:rPr>
                <w:rFonts w:hint="eastAsia" w:ascii="仿宋_GB2312" w:eastAsia="仿宋_GB2312"/>
                <w:spacing w:val="-6"/>
                <w:sz w:val="24"/>
              </w:rPr>
              <w:t>应</w:t>
            </w:r>
            <w:r>
              <w:rPr>
                <w:rFonts w:ascii="仿宋_GB2312" w:eastAsia="仿宋_GB2312"/>
                <w:spacing w:val="-6"/>
                <w:sz w:val="24"/>
              </w:rPr>
              <w:t>不低于1：3。</w:t>
            </w:r>
          </w:p>
          <w:p>
            <w:pPr>
              <w:spacing w:line="380" w:lineRule="exact"/>
              <w:jc w:val="left"/>
              <w:rPr>
                <w:rFonts w:ascii="仿宋_GB2312" w:eastAsia="仿宋_GB2312"/>
                <w:spacing w:val="-6"/>
                <w:sz w:val="24"/>
              </w:rPr>
            </w:pPr>
            <w:r>
              <w:rPr>
                <w:rFonts w:hint="eastAsia" w:ascii="仿宋_GB2312" w:eastAsia="仿宋_GB2312"/>
                <w:spacing w:val="-6"/>
                <w:sz w:val="24"/>
              </w:rPr>
              <w:t>医疗机构：配备与长护保险护理服务相适应的医护人员以及护理服务人员，长期</w:t>
            </w:r>
            <w:r>
              <w:rPr>
                <w:rFonts w:ascii="仿宋_GB2312" w:eastAsia="仿宋_GB2312"/>
                <w:spacing w:val="-6"/>
                <w:sz w:val="24"/>
              </w:rPr>
              <w:t>护理服务专区</w:t>
            </w:r>
            <w:r>
              <w:rPr>
                <w:rFonts w:hint="eastAsia" w:ascii="仿宋_GB2312" w:eastAsia="仿宋_GB2312"/>
                <w:spacing w:val="-6"/>
                <w:sz w:val="24"/>
              </w:rPr>
              <w:t>内的护理服务人员与护理床位配比应不低于1:3.5。</w:t>
            </w:r>
          </w:p>
        </w:tc>
        <w:tc>
          <w:tcPr>
            <w:tcW w:w="65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r>
              <w:rPr>
                <w:rFonts w:hint="eastAsia" w:ascii="仿宋_GB2312" w:eastAsia="仿宋_GB2312"/>
                <w:sz w:val="24"/>
              </w:rPr>
              <w:t>20</w:t>
            </w:r>
          </w:p>
        </w:tc>
        <w:tc>
          <w:tcPr>
            <w:tcW w:w="414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1.人员配备合理，</w:t>
            </w:r>
            <w:r>
              <w:rPr>
                <w:rFonts w:ascii="仿宋_GB2312" w:eastAsia="仿宋_GB2312" w:cs="仿宋_GB2312"/>
                <w:color w:val="000000"/>
                <w:kern w:val="0"/>
                <w:sz w:val="24"/>
              </w:rPr>
              <w:t>按规定做好从业人员基本信息档案管理，</w:t>
            </w:r>
            <w:r>
              <w:rPr>
                <w:rFonts w:hint="eastAsia" w:ascii="仿宋_GB2312" w:hAnsi="仿宋_GB2312" w:eastAsia="仿宋_GB2312" w:cs="仿宋_GB2312"/>
                <w:color w:val="000000"/>
                <w:kern w:val="0"/>
                <w:sz w:val="24"/>
              </w:rPr>
              <w:t>且与本单位签订1年及以上劳动合同的，</w:t>
            </w:r>
            <w:r>
              <w:rPr>
                <w:rFonts w:ascii="仿宋_GB2312" w:hAnsi="仿宋_GB2312" w:eastAsia="仿宋_GB2312" w:cs="仿宋_GB2312"/>
                <w:color w:val="000000"/>
                <w:kern w:val="0"/>
                <w:sz w:val="24"/>
              </w:rPr>
              <w:t>得</w:t>
            </w:r>
            <w:r>
              <w:rPr>
                <w:rFonts w:hint="eastAsia" w:ascii="仿宋_GB2312" w:hAnsi="仿宋_GB2312" w:eastAsia="仿宋_GB2312" w:cs="仿宋_GB2312"/>
                <w:color w:val="000000"/>
                <w:kern w:val="0"/>
                <w:sz w:val="24"/>
              </w:rPr>
              <w:t>10分；</w:t>
            </w:r>
          </w:p>
          <w:p>
            <w:pPr>
              <w:overflowPunct w:val="0"/>
              <w:spacing w:line="380" w:lineRule="exact"/>
              <w:jc w:val="left"/>
              <w:rPr>
                <w:rFonts w:ascii="仿宋_GB2312" w:eastAsia="仿宋_GB2312"/>
                <w:sz w:val="24"/>
              </w:rPr>
            </w:pPr>
            <w:r>
              <w:rPr>
                <w:rFonts w:hint="eastAsia" w:ascii="仿宋_GB2312" w:hAnsi="仿宋_GB2312" w:eastAsia="仿宋_GB2312" w:cs="仿宋_GB2312"/>
                <w:color w:val="000000"/>
                <w:kern w:val="0"/>
                <w:sz w:val="24"/>
              </w:rPr>
              <w:t>2.所有</w:t>
            </w:r>
            <w:r>
              <w:rPr>
                <w:rFonts w:hint="default" w:ascii="仿宋_GB2312" w:hAnsi="仿宋_GB2312" w:eastAsia="仿宋_GB2312" w:cs="仿宋_GB2312"/>
                <w:color w:val="000000"/>
                <w:kern w:val="0"/>
                <w:sz w:val="24"/>
              </w:rPr>
              <w:t>持证</w:t>
            </w:r>
            <w:r>
              <w:rPr>
                <w:rFonts w:hint="eastAsia" w:ascii="仿宋_GB2312" w:hAnsi="仿宋_GB2312" w:eastAsia="仿宋_GB2312" w:cs="仿宋_GB2312"/>
                <w:color w:val="000000"/>
                <w:kern w:val="0"/>
                <w:sz w:val="24"/>
              </w:rPr>
              <w:t>护理人员在本单位连续参保满3个月及以上，得5分；每超出配置标准一名得1分，最多得5分。</w:t>
            </w:r>
          </w:p>
        </w:tc>
        <w:tc>
          <w:tcPr>
            <w:tcW w:w="150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r>
              <w:rPr>
                <w:rFonts w:hint="eastAsia" w:ascii="仿宋_GB2312" w:eastAsia="仿宋_GB2312"/>
                <w:sz w:val="24"/>
              </w:rPr>
              <w:t>9</w:t>
            </w:r>
          </w:p>
        </w:tc>
        <w:tc>
          <w:tcPr>
            <w:tcW w:w="1766"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pacing w:val="-6"/>
                <w:sz w:val="24"/>
              </w:rPr>
            </w:pPr>
            <w:r>
              <w:rPr>
                <w:rFonts w:hint="eastAsia" w:ascii="仿宋_GB2312" w:eastAsia="仿宋_GB2312"/>
                <w:spacing w:val="-6"/>
                <w:sz w:val="24"/>
              </w:rPr>
              <w:t>政策宣传培训</w:t>
            </w:r>
          </w:p>
        </w:tc>
        <w:tc>
          <w:tcPr>
            <w:tcW w:w="389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left"/>
              <w:rPr>
                <w:rFonts w:ascii="仿宋_GB2312" w:eastAsia="仿宋_GB2312"/>
                <w:spacing w:val="-6"/>
                <w:sz w:val="24"/>
              </w:rPr>
            </w:pPr>
            <w:r>
              <w:rPr>
                <w:rFonts w:hint="eastAsia" w:ascii="仿宋_GB2312" w:eastAsia="仿宋_GB2312"/>
                <w:spacing w:val="-6"/>
                <w:sz w:val="24"/>
              </w:rPr>
              <w:t>设立宣传栏等，向参保人员宣传长期护理保险相关政策、服务项目、结算流程等内容。</w:t>
            </w:r>
          </w:p>
        </w:tc>
        <w:tc>
          <w:tcPr>
            <w:tcW w:w="65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r>
              <w:rPr>
                <w:rFonts w:hint="eastAsia" w:ascii="仿宋_GB2312" w:eastAsia="仿宋_GB2312"/>
                <w:sz w:val="24"/>
              </w:rPr>
              <w:t>10</w:t>
            </w:r>
          </w:p>
        </w:tc>
        <w:tc>
          <w:tcPr>
            <w:tcW w:w="4145"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80" w:lineRule="exact"/>
              <w:jc w:val="left"/>
              <w:rPr>
                <w:rFonts w:hint="eastAsia" w:ascii="仿宋_GB2312" w:eastAsia="仿宋_GB2312"/>
                <w:spacing w:val="-6"/>
                <w:sz w:val="24"/>
              </w:rPr>
            </w:pPr>
            <w:r>
              <w:rPr>
                <w:rFonts w:hint="eastAsia" w:ascii="仿宋_GB2312" w:eastAsia="仿宋_GB2312"/>
                <w:spacing w:val="-6"/>
                <w:sz w:val="24"/>
              </w:rPr>
              <w:t>设立宣传栏，及时宣传包括但不限于长护</w:t>
            </w:r>
            <w:r>
              <w:rPr>
                <w:rFonts w:hint="default" w:ascii="仿宋_GB2312" w:eastAsia="仿宋_GB2312"/>
                <w:spacing w:val="-6"/>
                <w:sz w:val="24"/>
              </w:rPr>
              <w:t>保险</w:t>
            </w:r>
            <w:r>
              <w:rPr>
                <w:rFonts w:hint="eastAsia" w:ascii="仿宋_GB2312" w:eastAsia="仿宋_GB2312"/>
                <w:spacing w:val="-6"/>
                <w:sz w:val="24"/>
              </w:rPr>
              <w:t>主要政策、待遇</w:t>
            </w:r>
            <w:r>
              <w:rPr>
                <w:rFonts w:ascii="仿宋_GB2312" w:eastAsia="仿宋_GB2312"/>
                <w:spacing w:val="-6"/>
                <w:sz w:val="24"/>
              </w:rPr>
              <w:t>标准</w:t>
            </w:r>
            <w:r>
              <w:rPr>
                <w:rFonts w:hint="eastAsia" w:ascii="仿宋_GB2312" w:eastAsia="仿宋_GB2312"/>
                <w:spacing w:val="-6"/>
                <w:sz w:val="24"/>
              </w:rPr>
              <w:t>、</w:t>
            </w:r>
            <w:r>
              <w:rPr>
                <w:rFonts w:ascii="仿宋_GB2312" w:eastAsia="仿宋_GB2312"/>
                <w:spacing w:val="-6"/>
                <w:sz w:val="24"/>
              </w:rPr>
              <w:t>待遇享受流程</w:t>
            </w:r>
            <w:r>
              <w:rPr>
                <w:rFonts w:hint="eastAsia" w:ascii="仿宋_GB2312" w:eastAsia="仿宋_GB2312"/>
                <w:spacing w:val="-6"/>
                <w:sz w:val="24"/>
              </w:rPr>
              <w:t>、服务项目及价格、结算流程等，做到内容完整、表述正确，得10分。</w:t>
            </w:r>
          </w:p>
          <w:p>
            <w:pPr>
              <w:numPr>
                <w:ilvl w:val="0"/>
                <w:numId w:val="1"/>
              </w:numPr>
              <w:spacing w:line="380" w:lineRule="exact"/>
              <w:jc w:val="left"/>
              <w:rPr>
                <w:sz w:val="24"/>
              </w:rPr>
            </w:pPr>
            <w:r>
              <w:rPr>
                <w:rFonts w:hint="eastAsia" w:ascii="仿宋_GB2312" w:eastAsia="仿宋_GB2312"/>
                <w:spacing w:val="-6"/>
                <w:sz w:val="24"/>
              </w:rPr>
              <w:t>未设立或未宣传的，不得分；虽有宣传，但有缺项或不完整正确的，每项扣2分。</w:t>
            </w:r>
          </w:p>
        </w:tc>
        <w:tc>
          <w:tcPr>
            <w:tcW w:w="150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r>
              <w:rPr>
                <w:rFonts w:hint="eastAsia" w:ascii="仿宋_GB2312" w:eastAsia="仿宋_GB2312"/>
                <w:sz w:val="24"/>
              </w:rPr>
              <w:t>10</w:t>
            </w:r>
          </w:p>
        </w:tc>
        <w:tc>
          <w:tcPr>
            <w:tcW w:w="1766"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pacing w:val="-6"/>
                <w:sz w:val="24"/>
              </w:rPr>
            </w:pPr>
            <w:r>
              <w:rPr>
                <w:rFonts w:hint="eastAsia" w:ascii="仿宋_GB2312" w:eastAsia="仿宋_GB2312"/>
                <w:spacing w:val="-6"/>
                <w:sz w:val="24"/>
              </w:rPr>
              <w:t>不予受理的情形</w:t>
            </w:r>
          </w:p>
        </w:tc>
        <w:tc>
          <w:tcPr>
            <w:tcW w:w="389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left"/>
              <w:rPr>
                <w:rFonts w:ascii="仿宋_GB2312" w:eastAsia="仿宋_GB2312"/>
                <w:spacing w:val="-6"/>
                <w:sz w:val="24"/>
              </w:rPr>
            </w:pPr>
            <w:r>
              <w:rPr>
                <w:rFonts w:hint="eastAsia" w:ascii="仿宋_GB2312" w:eastAsia="仿宋_GB2312"/>
                <w:spacing w:val="-6"/>
                <w:sz w:val="24"/>
              </w:rPr>
              <w:t>遵守国家、省、市有关法律法规和政策规定。规范经营，近一年内（不足一年的自开业以来）未因医疗服务、养老服务等行为而受到相关行政部门处罚。</w:t>
            </w:r>
          </w:p>
        </w:tc>
        <w:tc>
          <w:tcPr>
            <w:tcW w:w="65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p>
        </w:tc>
        <w:tc>
          <w:tcPr>
            <w:tcW w:w="414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left"/>
              <w:rPr>
                <w:rFonts w:ascii="仿宋_GB2312" w:eastAsia="仿宋_GB2312"/>
                <w:sz w:val="24"/>
              </w:rPr>
            </w:pPr>
            <w:r>
              <w:rPr>
                <w:rFonts w:hint="eastAsia" w:ascii="仿宋_GB2312" w:eastAsia="仿宋_GB2312"/>
                <w:sz w:val="24"/>
              </w:rPr>
              <w:t>是否有附件1第十条所列情形及机构（合作单位）法定代表人、主要负责人或实际控制人列入失信人员名单，</w:t>
            </w:r>
            <w:r>
              <w:rPr>
                <w:rFonts w:hint="eastAsia" w:ascii="仿宋_GB2312" w:eastAsia="仿宋_GB2312"/>
                <w:sz w:val="24"/>
                <w:lang w:eastAsia="zh-CN"/>
              </w:rPr>
              <w:t>“</w:t>
            </w:r>
            <w:r>
              <w:rPr>
                <w:rFonts w:hint="eastAsia" w:ascii="仿宋_GB2312" w:eastAsia="仿宋_GB2312"/>
                <w:sz w:val="24"/>
              </w:rPr>
              <w:t>是</w:t>
            </w:r>
            <w:r>
              <w:rPr>
                <w:rFonts w:hint="eastAsia" w:ascii="仿宋_GB2312" w:eastAsia="仿宋_GB2312"/>
                <w:sz w:val="24"/>
                <w:lang w:eastAsia="zh-CN"/>
              </w:rPr>
              <w:t>”</w:t>
            </w:r>
            <w:r>
              <w:rPr>
                <w:rFonts w:hint="eastAsia" w:ascii="仿宋_GB2312" w:eastAsia="仿宋_GB2312"/>
                <w:sz w:val="24"/>
              </w:rPr>
              <w:t>即为不合格。</w:t>
            </w:r>
          </w:p>
        </w:tc>
        <w:tc>
          <w:tcPr>
            <w:tcW w:w="150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626"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pacing w:val="-6"/>
                <w:sz w:val="24"/>
              </w:rPr>
            </w:pPr>
            <w:r>
              <w:rPr>
                <w:rFonts w:hint="eastAsia" w:ascii="仿宋_GB2312" w:eastAsia="仿宋_GB2312"/>
                <w:spacing w:val="-6"/>
                <w:sz w:val="24"/>
              </w:rPr>
              <w:t>评估指标合计分值</w:t>
            </w:r>
          </w:p>
        </w:tc>
        <w:tc>
          <w:tcPr>
            <w:tcW w:w="65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r>
              <w:rPr>
                <w:rFonts w:hint="eastAsia" w:ascii="仿宋_GB2312" w:eastAsia="仿宋_GB2312"/>
                <w:sz w:val="24"/>
              </w:rPr>
              <w:t>100</w:t>
            </w:r>
          </w:p>
        </w:tc>
        <w:tc>
          <w:tcPr>
            <w:tcW w:w="414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p>
        </w:tc>
        <w:tc>
          <w:tcPr>
            <w:tcW w:w="150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626"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pacing w:val="-6"/>
                <w:sz w:val="24"/>
              </w:rPr>
            </w:pPr>
            <w:r>
              <w:rPr>
                <w:rFonts w:hint="eastAsia" w:ascii="仿宋_GB2312" w:eastAsia="仿宋_GB2312"/>
                <w:spacing w:val="-6"/>
                <w:sz w:val="24"/>
              </w:rPr>
              <w:t>合计得分</w:t>
            </w:r>
          </w:p>
        </w:tc>
        <w:tc>
          <w:tcPr>
            <w:tcW w:w="65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p>
        </w:tc>
        <w:tc>
          <w:tcPr>
            <w:tcW w:w="414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p>
        </w:tc>
        <w:tc>
          <w:tcPr>
            <w:tcW w:w="1501"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jc w:val="center"/>
              <w:rPr>
                <w:rFonts w:ascii="仿宋_GB2312" w:eastAsia="仿宋_GB2312"/>
                <w:sz w:val="24"/>
              </w:rPr>
            </w:pPr>
          </w:p>
        </w:tc>
      </w:tr>
    </w:tbl>
    <w:p>
      <w:pPr>
        <w:spacing w:line="380" w:lineRule="exact"/>
        <w:ind w:firstLine="472" w:firstLineChars="200"/>
        <w:rPr>
          <w:rFonts w:hint="eastAsia" w:eastAsia="楷体_GB2312"/>
          <w:spacing w:val="-2"/>
          <w:sz w:val="24"/>
        </w:rPr>
      </w:pPr>
      <w:r>
        <w:rPr>
          <w:rFonts w:hint="eastAsia" w:eastAsia="楷体_GB2312"/>
          <w:spacing w:val="-2"/>
          <w:sz w:val="24"/>
        </w:rPr>
        <w:t>备注：1.自评分或经办机构初评分不到80分的、或不符合评估指标1、10项要求的，即为评估不合格，不再进入专家评估环节。</w:t>
      </w:r>
    </w:p>
    <w:p>
      <w:pPr>
        <w:spacing w:line="380" w:lineRule="exact"/>
        <w:ind w:firstLine="1180" w:firstLineChars="500"/>
        <w:rPr>
          <w:rFonts w:eastAsia="楷体_GB2312"/>
          <w:spacing w:val="-2"/>
          <w:sz w:val="24"/>
        </w:rPr>
      </w:pPr>
      <w:r>
        <w:rPr>
          <w:rFonts w:hint="eastAsia" w:eastAsia="楷体_GB2312"/>
          <w:spacing w:val="-2"/>
          <w:sz w:val="24"/>
        </w:rPr>
        <w:t>2.经办机构初评分达到80分及以上且符合评估指标1、10项要求的，进入专家评估环节，评估分达到专家评估的</w:t>
      </w:r>
      <w:r>
        <w:rPr>
          <w:rFonts w:eastAsia="楷体_GB2312"/>
          <w:spacing w:val="-2"/>
          <w:sz w:val="24"/>
        </w:rPr>
        <w:t>所有机</w:t>
      </w:r>
    </w:p>
    <w:p>
      <w:pPr>
        <w:spacing w:line="380" w:lineRule="exact"/>
        <w:ind w:firstLine="472" w:firstLineChars="200"/>
        <w:rPr>
          <w:rFonts w:eastAsia="楷体_GB2312"/>
          <w:sz w:val="24"/>
        </w:rPr>
      </w:pPr>
      <w:r>
        <w:rPr>
          <w:rFonts w:eastAsia="楷体_GB2312"/>
          <w:spacing w:val="-2"/>
          <w:sz w:val="24"/>
        </w:rPr>
        <w:t>构</w:t>
      </w:r>
      <w:r>
        <w:rPr>
          <w:rFonts w:hint="eastAsia" w:eastAsia="楷体_GB2312"/>
          <w:spacing w:val="-2"/>
          <w:sz w:val="24"/>
        </w:rPr>
        <w:t>平均分以上且不低于80分的，评估结果为合格。</w:t>
      </w:r>
    </w:p>
    <w:p>
      <w:pPr>
        <w:pStyle w:val="8"/>
        <w:spacing w:line="380" w:lineRule="exact"/>
        <w:ind w:left="0" w:firstLine="720" w:firstLineChars="300"/>
        <w:rPr>
          <w:rFonts w:eastAsia="楷体_GB2312"/>
          <w:sz w:val="24"/>
        </w:rPr>
      </w:pPr>
      <w:r>
        <w:rPr>
          <w:rFonts w:hint="eastAsia" w:eastAsia="楷体_GB2312"/>
          <w:sz w:val="24"/>
        </w:rPr>
        <w:t>经办人：                                            法定代表人签字：</w:t>
      </w:r>
    </w:p>
    <w:p>
      <w:pPr>
        <w:spacing w:line="380" w:lineRule="exact"/>
      </w:pPr>
      <w:r>
        <w:rPr>
          <w:rFonts w:hint="eastAsia" w:eastAsia="楷体_GB2312"/>
          <w:sz w:val="24"/>
        </w:rPr>
        <w:t xml:space="preserve">      联系电话：                                          联系电话：</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decorative"/>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Fonts w:ascii="宋体"/>
        <w:sz w:val="28"/>
        <w:szCs w:val="28"/>
      </w:rPr>
    </w:pPr>
    <w:r>
      <w:rPr>
        <w:rStyle w:val="11"/>
        <w:rFonts w:hint="eastAsia" w:ascii="宋体"/>
        <w:sz w:val="28"/>
        <w:szCs w:val="28"/>
      </w:rPr>
      <w:fldChar w:fldCharType="begin"/>
    </w:r>
    <w:r>
      <w:rPr>
        <w:rStyle w:val="11"/>
        <w:rFonts w:hint="eastAsia" w:ascii="宋体"/>
        <w:sz w:val="28"/>
        <w:szCs w:val="28"/>
      </w:rPr>
      <w:instrText xml:space="preserve">Page</w:instrText>
    </w:r>
    <w:r>
      <w:rPr>
        <w:rStyle w:val="11"/>
        <w:rFonts w:hint="eastAsia" w:ascii="宋体"/>
        <w:sz w:val="28"/>
        <w:szCs w:val="28"/>
      </w:rPr>
      <w:fldChar w:fldCharType="separate"/>
    </w:r>
    <w:r>
      <w:rPr>
        <w:rStyle w:val="11"/>
        <w:rFonts w:ascii="宋体"/>
        <w:sz w:val="28"/>
        <w:szCs w:val="28"/>
      </w:rPr>
      <w:t>6</w:t>
    </w:r>
    <w:r>
      <w:rPr>
        <w:rStyle w:val="11"/>
        <w:rFonts w:hint="eastAsia" w:ascii="宋体"/>
        <w:sz w:val="28"/>
        <w:szCs w:val="28"/>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53828"/>
    <w:multiLevelType w:val="singleLevel"/>
    <w:tmpl w:val="33A5382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06CB"/>
    <w:rsid w:val="0005619A"/>
    <w:rsid w:val="000A0B3F"/>
    <w:rsid w:val="000C71AF"/>
    <w:rsid w:val="001A6DEE"/>
    <w:rsid w:val="001B0F20"/>
    <w:rsid w:val="002536DF"/>
    <w:rsid w:val="002D15D3"/>
    <w:rsid w:val="005C11FC"/>
    <w:rsid w:val="00602D66"/>
    <w:rsid w:val="00655595"/>
    <w:rsid w:val="007558FF"/>
    <w:rsid w:val="0079080B"/>
    <w:rsid w:val="00801FC7"/>
    <w:rsid w:val="0095718C"/>
    <w:rsid w:val="00BD10A7"/>
    <w:rsid w:val="00D130B0"/>
    <w:rsid w:val="00D30046"/>
    <w:rsid w:val="00F0456C"/>
    <w:rsid w:val="00F4716E"/>
    <w:rsid w:val="00F506CB"/>
    <w:rsid w:val="01C36174"/>
    <w:rsid w:val="03660724"/>
    <w:rsid w:val="0DEB68E4"/>
    <w:rsid w:val="0E1E1CEA"/>
    <w:rsid w:val="13FF47B2"/>
    <w:rsid w:val="1A3E3A1B"/>
    <w:rsid w:val="1D0B4E33"/>
    <w:rsid w:val="1E3500C5"/>
    <w:rsid w:val="1F0A017C"/>
    <w:rsid w:val="21A57AC0"/>
    <w:rsid w:val="23CF440D"/>
    <w:rsid w:val="287C15D5"/>
    <w:rsid w:val="2BCB2238"/>
    <w:rsid w:val="2BFD51BC"/>
    <w:rsid w:val="35240CF7"/>
    <w:rsid w:val="378828AA"/>
    <w:rsid w:val="48960011"/>
    <w:rsid w:val="4A787CAE"/>
    <w:rsid w:val="4B1E79AA"/>
    <w:rsid w:val="5403095E"/>
    <w:rsid w:val="549205B7"/>
    <w:rsid w:val="56D516B1"/>
    <w:rsid w:val="56ED74A9"/>
    <w:rsid w:val="58791B0E"/>
    <w:rsid w:val="5AFE02F7"/>
    <w:rsid w:val="5B3FA5B0"/>
    <w:rsid w:val="5D17DD45"/>
    <w:rsid w:val="5FFF5AA5"/>
    <w:rsid w:val="63BA20AB"/>
    <w:rsid w:val="652345BF"/>
    <w:rsid w:val="67FFBFC4"/>
    <w:rsid w:val="73346037"/>
    <w:rsid w:val="74D12CB3"/>
    <w:rsid w:val="79CFE753"/>
    <w:rsid w:val="7D615540"/>
    <w:rsid w:val="7E8FA36B"/>
    <w:rsid w:val="7F77EB29"/>
    <w:rsid w:val="7FFD3640"/>
    <w:rsid w:val="9BDF7950"/>
    <w:rsid w:val="9CDFEAC7"/>
    <w:rsid w:val="B77EF250"/>
    <w:rsid w:val="BBBFA3C8"/>
    <w:rsid w:val="BFFACB61"/>
    <w:rsid w:val="DD3E67F8"/>
    <w:rsid w:val="E33F6429"/>
    <w:rsid w:val="EEBFBBF0"/>
    <w:rsid w:val="EFEB1675"/>
    <w:rsid w:val="F3EFD6FC"/>
    <w:rsid w:val="F91FB25D"/>
    <w:rsid w:val="F9F4F706"/>
    <w:rsid w:val="F9FCC2E4"/>
    <w:rsid w:val="FAE114C3"/>
    <w:rsid w:val="FDEA84C4"/>
    <w:rsid w:val="FE4F385C"/>
    <w:rsid w:val="FEDFD92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420" w:firstLineChars="200"/>
    </w:pPr>
  </w:style>
  <w:style w:type="paragraph" w:styleId="3">
    <w:name w:val="Body Text Indent"/>
    <w:basedOn w:val="1"/>
    <w:next w:val="4"/>
    <w:unhideWhenUsed/>
    <w:qFormat/>
    <w:uiPriority w:val="99"/>
    <w:pPr>
      <w:ind w:left="420" w:leftChars="200"/>
    </w:pPr>
  </w:style>
  <w:style w:type="paragraph" w:styleId="4">
    <w:name w:val="Body Text"/>
    <w:basedOn w:val="1"/>
    <w:next w:val="1"/>
    <w:unhideWhenUsed/>
    <w:qFormat/>
    <w:uiPriority w:val="99"/>
    <w:rPr>
      <w:sz w:val="28"/>
    </w:rPr>
  </w:style>
  <w:style w:type="paragraph" w:styleId="5">
    <w:name w:val="Body Text First Indent"/>
    <w:basedOn w:val="4"/>
    <w:unhideWhenUsed/>
    <w:qFormat/>
    <w:uiPriority w:val="99"/>
    <w:pPr>
      <w:ind w:firstLine="420" w:firstLineChars="100"/>
    </w:pPr>
    <w:rPr>
      <w:sz w:val="21"/>
      <w:szCs w:val="21"/>
    </w:rPr>
  </w:style>
  <w:style w:type="paragraph" w:styleId="6">
    <w:name w:val="footer"/>
    <w:basedOn w:val="1"/>
    <w:link w:val="13"/>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index 7"/>
    <w:basedOn w:val="1"/>
    <w:next w:val="1"/>
    <w:qFormat/>
    <w:uiPriority w:val="0"/>
    <w:pPr>
      <w:spacing w:line="160" w:lineRule="exact"/>
      <w:ind w:left="2517"/>
    </w:pPr>
  </w:style>
  <w:style w:type="character" w:styleId="11">
    <w:name w:val="page number"/>
    <w:basedOn w:val="10"/>
    <w:qFormat/>
    <w:uiPriority w:val="0"/>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semiHidden/>
    <w:qFormat/>
    <w:uiPriority w:val="99"/>
    <w:rPr>
      <w:sz w:val="18"/>
      <w:szCs w:val="18"/>
    </w:rPr>
  </w:style>
  <w:style w:type="character" w:customStyle="1" w:styleId="14">
    <w:name w:val="10"/>
    <w:basedOn w:val="10"/>
    <w:uiPriority w:val="0"/>
    <w:rPr>
      <w:rFonts w:hint="default" w:ascii="Times New Roman" w:hAnsi="Times New Roman" w:cs="Times New Roman"/>
    </w:rPr>
  </w:style>
  <w:style w:type="character" w:customStyle="1" w:styleId="15">
    <w:name w:val="15"/>
    <w:basedOn w:val="10"/>
    <w:qFormat/>
    <w:uiPriority w:val="0"/>
    <w:rPr>
      <w:rFonts w:hint="default" w:ascii="Times New Roman" w:hAnsi="Times New Roman" w:cs="Times New Roman"/>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HP Inc.</Company>
  <Pages>6</Pages>
  <Words>350</Words>
  <Characters>1998</Characters>
  <Lines>16</Lines>
  <Paragraphs>4</Paragraphs>
  <TotalTime>83</TotalTime>
  <ScaleCrop>false</ScaleCrop>
  <LinksUpToDate>false</LinksUpToDate>
  <CharactersWithSpaces>2344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2023-04-24T10:25:00Z</dcterms:created>
  <dc:creator>nb</dc:creator>
  <cp:lastModifiedBy>匿名用户</cp:lastModifiedBy>
  <cp:lastPrinted>2023-04-28T10:00:00Z</cp:lastPrinted>
  <dcterms:modified xsi:type="dcterms:W3CDTF">2023-04-28T03:10:14Z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