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4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923290</wp:posOffset>
                </wp:positionV>
                <wp:extent cx="545084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65pt,72.7pt" to="511.85pt,72.7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9384665</wp:posOffset>
                </wp:positionV>
                <wp:extent cx="54508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65pt,738.95pt" to="511.85pt,738.95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913765</wp:posOffset>
                </wp:positionV>
                <wp:extent cx="0" cy="84797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7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4pt,71.95pt" to="83.4pt,739.65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6491605</wp:posOffset>
                </wp:positionH>
                <wp:positionV relativeFrom="page">
                  <wp:posOffset>913765</wp:posOffset>
                </wp:positionV>
                <wp:extent cx="0" cy="84797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7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1.15pt,71.95pt" to="511.15pt,739.65pt" o:allowincell="f" strokecolor="#000000" strokeweight="1.4483pt">
                <w10:wrap anchorx="page" anchory="page"/>
              </v:line>
            </w:pict>
          </mc:Fallback>
        </mc:AlternateContent>
      </w:r>
    </w:p>
    <w:p>
      <w:pPr>
        <w:ind w:left="340"/>
        <w:spacing w:after="0" w:line="280" w:lineRule="exact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环保部门审批意见：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color w:val="auto"/>
        </w:rPr>
        <w:t>余环建〔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2019</w:t>
      </w:r>
      <w:r>
        <w:rPr>
          <w:rFonts w:ascii="宋体" w:cs="宋体" w:eastAsia="宋体" w:hAnsi="宋体"/>
          <w:sz w:val="23"/>
          <w:szCs w:val="23"/>
          <w:color w:val="auto"/>
        </w:rPr>
        <w:t>〕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56 </w:t>
      </w:r>
      <w:r>
        <w:rPr>
          <w:rFonts w:ascii="宋体" w:cs="宋体" w:eastAsia="宋体" w:hAnsi="宋体"/>
          <w:sz w:val="23"/>
          <w:szCs w:val="23"/>
          <w:color w:val="auto"/>
        </w:rPr>
        <w:t>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83"/>
        <w:spacing w:after="0" w:line="33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根据宁波上一步木业有限公司报送的《宁波上一步木业有限公司年产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3000 </w:t>
      </w:r>
      <w:r>
        <w:rPr>
          <w:rFonts w:ascii="宋体" w:cs="宋体" w:eastAsia="宋体" w:hAnsi="宋体"/>
          <w:sz w:val="24"/>
          <w:szCs w:val="24"/>
          <w:color w:val="auto"/>
        </w:rPr>
        <w:t>套木饰面制品生产项目环境影响报告表》，依据《中华人民共和国环境影响评价法》、《浙江省建设项目环境保护管理办法》等相关环保法律规定，经研究，现批复如下：</w:t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83"/>
        <w:spacing w:after="0" w:line="34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一、原则同意《宁波上一步木业有限公司年产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3000 </w:t>
      </w:r>
      <w:r>
        <w:rPr>
          <w:rFonts w:ascii="宋体" w:cs="宋体" w:eastAsia="宋体" w:hAnsi="宋体"/>
          <w:sz w:val="24"/>
          <w:szCs w:val="24"/>
          <w:color w:val="auto"/>
        </w:rPr>
        <w:t>套木饰面制品生产项目环境影响报告表》结论，同意项目实施。该项目位于余姚市泗门镇惠康路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6 </w:t>
      </w:r>
      <w:r>
        <w:rPr>
          <w:rFonts w:ascii="宋体" w:cs="宋体" w:eastAsia="宋体" w:hAnsi="宋体"/>
          <w:sz w:val="24"/>
          <w:szCs w:val="24"/>
          <w:color w:val="auto"/>
        </w:rPr>
        <w:t>号，总投资约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1200 </w:t>
      </w:r>
      <w:r>
        <w:rPr>
          <w:rFonts w:ascii="宋体" w:cs="宋体" w:eastAsia="宋体" w:hAnsi="宋体"/>
          <w:sz w:val="24"/>
          <w:szCs w:val="24"/>
          <w:color w:val="auto"/>
        </w:rPr>
        <w:t>万元，主要生产设备：手工喷台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 </w:t>
      </w:r>
      <w:r>
        <w:rPr>
          <w:rFonts w:ascii="宋体" w:cs="宋体" w:eastAsia="宋体" w:hAnsi="宋体"/>
          <w:sz w:val="24"/>
          <w:szCs w:val="24"/>
          <w:color w:val="auto"/>
        </w:rPr>
        <w:t>只（配套喷枪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 </w:t>
      </w:r>
      <w:r>
        <w:rPr>
          <w:rFonts w:ascii="宋体" w:cs="宋体" w:eastAsia="宋体" w:hAnsi="宋体"/>
          <w:sz w:val="24"/>
          <w:szCs w:val="24"/>
          <w:color w:val="auto"/>
        </w:rPr>
        <w:t>把）、打磨机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 </w:t>
      </w:r>
      <w:r>
        <w:rPr>
          <w:rFonts w:ascii="宋体" w:cs="宋体" w:eastAsia="宋体" w:hAnsi="宋体"/>
          <w:sz w:val="24"/>
          <w:szCs w:val="24"/>
          <w:color w:val="auto"/>
        </w:rPr>
        <w:t>台、砂光机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 </w:t>
      </w:r>
      <w:r>
        <w:rPr>
          <w:rFonts w:ascii="宋体" w:cs="宋体" w:eastAsia="宋体" w:hAnsi="宋体"/>
          <w:sz w:val="24"/>
          <w:szCs w:val="24"/>
          <w:color w:val="auto"/>
        </w:rPr>
        <w:t>台、推台锯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 </w:t>
      </w:r>
      <w:r>
        <w:rPr>
          <w:rFonts w:ascii="宋体" w:cs="宋体" w:eastAsia="宋体" w:hAnsi="宋体"/>
          <w:sz w:val="24"/>
          <w:szCs w:val="24"/>
          <w:color w:val="auto"/>
        </w:rPr>
        <w:t>台、吊镂机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宋体" w:cs="宋体" w:eastAsia="宋体" w:hAnsi="宋体"/>
          <w:sz w:val="24"/>
          <w:szCs w:val="24"/>
          <w:color w:val="auto"/>
        </w:rPr>
        <w:t>台等，主要生产工艺为：木板开料、砂光、压皮、精裁、吊镂、冷压、打磨、喷底漆、晾干、涂装打磨、喷面漆、晾干和包装等。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83"/>
        <w:spacing w:after="0" w:line="3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二、在项目建设和运行中，必须严格按照环评报告表要求做好环境保护工作，重点做好以下工作：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jc w:val="both"/>
        <w:ind w:left="340" w:right="366" w:firstLine="483"/>
        <w:spacing w:after="0" w:line="319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、采用和落实先进的生产设备、生产工艺和治污措施，优化系统管理，切实从源头上减少和控制污染物的产生和排放。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83"/>
        <w:spacing w:after="0" w:line="34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、落实废气收集和治理措施，采取有效措施提高生产工艺废气收集效率，做好喷涂和打磨车间的封闭措施，废气和粉尘经收集处理达标后不低于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15 </w:t>
      </w:r>
      <w:r>
        <w:rPr>
          <w:rFonts w:ascii="宋体" w:cs="宋体" w:eastAsia="宋体" w:hAnsi="宋体"/>
          <w:sz w:val="24"/>
          <w:szCs w:val="24"/>
          <w:color w:val="auto"/>
        </w:rPr>
        <w:t>米排气筒高空排放，喷涂废气和打磨粉尘排放执行《工业涂装工序大气污染物排放标准》（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DB33/2146-2018</w:t>
      </w:r>
      <w:r>
        <w:rPr>
          <w:rFonts w:ascii="宋体" w:cs="宋体" w:eastAsia="宋体" w:hAnsi="宋体"/>
          <w:sz w:val="24"/>
          <w:szCs w:val="24"/>
          <w:color w:val="auto"/>
        </w:rPr>
        <w:t>）中的相关标准要求；机加工、涂胶废气排放执行《大气污染物综合排放标准》（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GB16297-1996</w:t>
      </w:r>
      <w:r>
        <w:rPr>
          <w:rFonts w:ascii="宋体" w:cs="宋体" w:eastAsia="宋体" w:hAnsi="宋体"/>
          <w:sz w:val="24"/>
          <w:szCs w:val="24"/>
          <w:color w:val="auto"/>
        </w:rPr>
        <w:t>）中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新污染源大气污染物排放限值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中相关标准。</w:t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jc w:val="both"/>
        <w:ind w:left="340" w:right="366" w:firstLine="483"/>
        <w:spacing w:after="0" w:line="33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、厂区实行雨污分流。落实废水处理设施，生活污水和生产废水经处理达到《污水综合排放标准》（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GB 8978-1996</w:t>
      </w:r>
      <w:r>
        <w:rPr>
          <w:rFonts w:ascii="宋体" w:cs="宋体" w:eastAsia="宋体" w:hAnsi="宋体"/>
          <w:sz w:val="24"/>
          <w:szCs w:val="24"/>
          <w:color w:val="auto"/>
        </w:rPr>
        <w:t>）三级标准后排入市政污水管网，最终经余姚城市污水处理厂处理达标排放。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83"/>
        <w:spacing w:after="0" w:line="3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宋体" w:cs="宋体" w:eastAsia="宋体" w:hAnsi="宋体"/>
          <w:sz w:val="24"/>
          <w:szCs w:val="24"/>
          <w:color w:val="auto"/>
        </w:rPr>
        <w:t>、厂区合理布局、选用低噪声设备，对高噪声源设备、车间落实相应的隔音、降噪、减振措施，厂界环境噪声执行《工业企业厂界环境噪声排放标准》（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GB 12348-2008</w:t>
      </w:r>
      <w:r>
        <w:rPr>
          <w:rFonts w:ascii="宋体" w:cs="宋体" w:eastAsia="宋体" w:hAnsi="宋体"/>
          <w:sz w:val="24"/>
          <w:szCs w:val="24"/>
          <w:color w:val="auto"/>
        </w:rPr>
        <w:t>）中的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 </w:t>
      </w:r>
      <w:r>
        <w:rPr>
          <w:rFonts w:ascii="宋体" w:cs="宋体" w:eastAsia="宋体" w:hAnsi="宋体"/>
          <w:sz w:val="24"/>
          <w:szCs w:val="24"/>
          <w:color w:val="auto"/>
        </w:rPr>
        <w:t>类标准要求。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83"/>
        <w:spacing w:after="0" w:line="319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宋体" w:cs="宋体" w:eastAsia="宋体" w:hAnsi="宋体"/>
          <w:sz w:val="24"/>
          <w:szCs w:val="24"/>
          <w:color w:val="auto"/>
        </w:rPr>
        <w:t>、固体废弃物必须妥善、规范处置，漆渣、废活性炭、污泥等危险固废须根据相关法律法规妥善、规范地收集、堆放和储存，并委托有资质单位处置。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82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宋体" w:cs="宋体" w:eastAsia="宋体" w:hAnsi="宋体"/>
          <w:sz w:val="24"/>
          <w:szCs w:val="24"/>
          <w:color w:val="auto"/>
        </w:rPr>
        <w:t>、本项目实施后，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VOC </w:t>
      </w:r>
      <w:r>
        <w:rPr>
          <w:rFonts w:ascii="宋体" w:cs="宋体" w:eastAsia="宋体" w:hAnsi="宋体"/>
          <w:sz w:val="24"/>
          <w:szCs w:val="24"/>
          <w:color w:val="auto"/>
        </w:rPr>
        <w:t>排放量核定为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0.341t/a</w:t>
      </w:r>
      <w:r>
        <w:rPr>
          <w:rFonts w:ascii="宋体" w:cs="宋体" w:eastAsia="宋体" w:hAnsi="宋体"/>
          <w:sz w:val="24"/>
          <w:szCs w:val="24"/>
          <w:color w:val="auto"/>
        </w:rPr>
        <w:t>。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83"/>
        <w:spacing w:after="0" w:line="3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三、本建设项目的性质、规模、地点、采用的生产工艺或者防治污染的措施发生重大变动的，建设单位应当按规定重新报批。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820"/>
        <w:spacing w:after="0" w:line="29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四、项目建成后须经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三同时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竣工验收合格后方可正式投入生产。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66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余姚市环境保护局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ind w:left="662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2019 </w:t>
      </w:r>
      <w:r>
        <w:rPr>
          <w:rFonts w:ascii="宋体" w:cs="宋体" w:eastAsia="宋体" w:hAnsi="宋体"/>
          <w:sz w:val="24"/>
          <w:szCs w:val="24"/>
          <w:color w:val="auto"/>
        </w:rPr>
        <w:t>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 </w:t>
      </w:r>
      <w:r>
        <w:rPr>
          <w:rFonts w:ascii="宋体" w:cs="宋体" w:eastAsia="宋体" w:hAnsi="宋体"/>
          <w:sz w:val="24"/>
          <w:szCs w:val="24"/>
          <w:color w:val="auto"/>
        </w:rPr>
        <w:t>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14 </w:t>
      </w:r>
      <w:r>
        <w:rPr>
          <w:rFonts w:ascii="宋体" w:cs="宋体" w:eastAsia="宋体" w:hAnsi="宋体"/>
          <w:sz w:val="24"/>
          <w:szCs w:val="24"/>
          <w:color w:val="auto"/>
        </w:rPr>
        <w:t>日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2019-02-25T13:10:26Z</dcterms:created>
  <dcterms:modified xsi:type="dcterms:W3CDTF">2019-02-25T13:10:26Z</dcterms:modified>
</cp:coreProperties>
</file>