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20" w:lineRule="exact"/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黑体"/>
          <w:color w:val="000000"/>
          <w:kern w:val="0"/>
          <w:sz w:val="32"/>
          <w:szCs w:val="32"/>
        </w:rPr>
        <w:t>2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：授课老师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  <w:lang w:eastAsia="zh-CN"/>
        </w:rPr>
        <w:t>和课纲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介绍</w:t>
      </w:r>
    </w:p>
    <w:p>
      <w:pPr>
        <w:shd w:val="clear"/>
        <w:spacing w:line="720" w:lineRule="auto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bookmarkStart w:id="0" w:name="_GoBack"/>
    </w:p>
    <w:bookmarkEnd w:id="0"/>
    <w:p>
      <w:pPr>
        <w:shd w:val="clear"/>
        <w:spacing w:line="72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李春夫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老师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</w:t>
      </w:r>
    </w:p>
    <w:p>
      <w:pPr>
        <w:shd w:val="clear"/>
        <w:rPr>
          <w:b w:val="0"/>
          <w:bCs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290195</wp:posOffset>
            </wp:positionV>
            <wp:extent cx="1677670" cy="2518410"/>
            <wp:effectExtent l="0" t="0" r="17780" b="15240"/>
            <wp:wrapSquare wrapText="bothSides"/>
            <wp:docPr id="8194" name="图片 6" descr="IMG_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图片 6" descr="IMG_635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亚洲领导力开发研究院 高级研究员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中国执行力研究院副院长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中国红色管理研究院副院长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PTT国际认证培训师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国际注册管理咨询师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中国百强讲师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北京大学、武汉大学总裁班兼职教授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多家企业咨询顾问</w:t>
      </w:r>
    </w:p>
    <w:p>
      <w:pPr>
        <w:shd w:val="clear"/>
        <w:rPr>
          <w:b w:val="0"/>
          <w:bCs/>
        </w:rPr>
      </w:pPr>
    </w:p>
    <w:p>
      <w:pPr>
        <w:shd w:val="clear"/>
        <w:tabs>
          <w:tab w:val="left" w:pos="744"/>
        </w:tabs>
        <w:rPr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32"/>
          <w:szCs w:val="32"/>
          <w:lang w:val="en-US" w:eastAsia="zh-CN"/>
        </w:rPr>
        <w:t>实战背景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4"/>
          <w:szCs w:val="24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春夫老师曾在富士康、华为任中高层管理者，在影儿集团任商学院院长，Tenda科技任人力资源副总裁等职，具有不同行业、不同规模公司的企业管理实践经验，对企业管理的实效性有深刻的研究，著畅销书《解放军执行力》和《做雷锋式的好员工》。李老师优势：成功的企业管理经验+富有魅力的呈现方式。授课特点“实战+互动+落地”，共培训企业及各种团体组织10万余人，授课满意度95%以上。</w:t>
      </w:r>
    </w:p>
    <w:p>
      <w:pPr>
        <w:shd w:val="clear"/>
        <w:spacing w:line="520" w:lineRule="exact"/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</w:pPr>
    </w:p>
    <w:p>
      <w:pPr>
        <w:shd w:val="clear"/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eastAsia="zh-CN"/>
        </w:rPr>
        <w:t>授课特色</w:t>
      </w:r>
    </w:p>
    <w:p>
      <w:pPr>
        <w:shd w:val="clear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4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4"/>
          <w:szCs w:val="21"/>
        </w:rPr>
        <w:t>1、深刻的道理体现在浅显的比喻；复杂的难题溶解于简单的故事。</w:t>
      </w:r>
    </w:p>
    <w:p>
      <w:pPr>
        <w:shd w:val="clear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4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4"/>
          <w:szCs w:val="21"/>
        </w:rPr>
        <w:t>2、寓教于乐，活跃的课堂气氛，体验、参与、互动的教学方式，让大家在学中练，在练中学。</w:t>
      </w:r>
    </w:p>
    <w:p>
      <w:pPr>
        <w:shd w:val="clear"/>
        <w:rPr>
          <w:rFonts w:hint="eastAsia" w:ascii="黑体" w:hAnsi="黑体" w:eastAsia="黑体" w:cs="Arial"/>
          <w:b/>
          <w:color w:val="000000"/>
          <w:kern w:val="0"/>
          <w:sz w:val="24"/>
          <w:szCs w:val="21"/>
        </w:rPr>
      </w:pP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2"/>
          <w:szCs w:val="32"/>
          <w:lang w:val="en-US" w:eastAsia="zh-CN" w:bidi="ar-SA"/>
        </w:rPr>
        <w:t>【课程大纲】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黑体" w:hAnsi="黑体" w:eastAsia="黑体" w:cs="Arial"/>
          <w:b/>
          <w:color w:val="000000"/>
          <w:szCs w:val="21"/>
        </w:rPr>
      </w:pPr>
    </w:p>
    <w:p>
      <w:pPr>
        <w:widowControl/>
        <w:shd w:val="clear"/>
        <w:tabs>
          <w:tab w:val="left" w:pos="0"/>
        </w:tabs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第一部分：企业执行之难</w:t>
      </w:r>
    </w:p>
    <w:p>
      <w:pPr>
        <w:widowControl/>
        <w:numPr>
          <w:ilvl w:val="0"/>
          <w:numId w:val="2"/>
        </w:numPr>
        <w:shd w:val="clear"/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是决策错了还是执行有偏差？</w:t>
      </w:r>
    </w:p>
    <w:p>
      <w:pPr>
        <w:widowControl/>
        <w:numPr>
          <w:ilvl w:val="0"/>
          <w:numId w:val="2"/>
        </w:numPr>
        <w:shd w:val="clear"/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企业缺乏执行力的原因</w:t>
      </w:r>
    </w:p>
    <w:p>
      <w:pPr>
        <w:widowControl/>
        <w:numPr>
          <w:ilvl w:val="0"/>
          <w:numId w:val="2"/>
        </w:numPr>
        <w:shd w:val="clear"/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企业缺乏执行力的后果</w:t>
      </w:r>
    </w:p>
    <w:p>
      <w:pPr>
        <w:widowControl/>
        <w:numPr>
          <w:ilvl w:val="0"/>
          <w:numId w:val="2"/>
        </w:numPr>
        <w:shd w:val="clear"/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优秀企业的核心竞争力</w:t>
      </w:r>
    </w:p>
    <w:p>
      <w:pPr>
        <w:widowControl/>
        <w:numPr>
          <w:ilvl w:val="0"/>
          <w:numId w:val="2"/>
        </w:numPr>
        <w:shd w:val="clear"/>
        <w:adjustRightInd w:val="0"/>
        <w:snapToGrid w:val="0"/>
        <w:spacing w:line="276" w:lineRule="auto"/>
        <w:ind w:right="6" w:rightChars="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领导的管理困境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第二部分：企业执行力系统打造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1．执行文化体系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执行的团队精神、敬业精神、奉献精神；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2．执行制度体系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1) 热炉法则：预警性、即时性、公平性、分明性、必然性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2) 制度执行力三要：要有措施、要有检查、要有奖惩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3) 制度执行力三化：流程化、明晰化、操作化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3．执行人才体系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1) 执行人才标准：信守承诺、结果导向、永不放弃。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2) 执行人才识别七法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4．执行工具体系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ind w:left="851" w:firstLine="0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PBC个人战略法，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ind w:left="851" w:firstLine="0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6W3H思考法，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ind w:left="851" w:firstLine="0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猴子管理法，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ind w:left="851" w:firstLine="0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消灭借口的4R法，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日事日清OEC法,</w:t>
      </w:r>
    </w:p>
    <w:p>
      <w:pPr>
        <w:pStyle w:val="4"/>
        <w:numPr>
          <w:ilvl w:val="0"/>
          <w:numId w:val="3"/>
        </w:numPr>
        <w:shd w:val="clear" w:color="auto"/>
        <w:spacing w:before="0" w:beforeAutospacing="0" w:after="0" w:afterAutospacing="0" w:line="300" w:lineRule="exact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PDCA、YCYA工作改进法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720" w:firstLineChars="3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pStyle w:val="4"/>
        <w:shd w:val="clear" w:color="auto"/>
        <w:spacing w:before="0" w:beforeAutospacing="0" w:after="0" w:afterAutospacing="0" w:line="300" w:lineRule="exact"/>
        <w:ind w:firstLine="960" w:firstLineChars="4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第三部分：提高执行力的领导力</w:t>
      </w:r>
    </w:p>
    <w:p>
      <w:pPr>
        <w:pStyle w:val="4"/>
        <w:numPr>
          <w:ilvl w:val="0"/>
          <w:numId w:val="4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目标管理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目标的SMART原则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定量目标和定性目标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目标分解-责任到人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目标管理的难点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设定目标的七个步骤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制定计划的六个步骤</w:t>
      </w:r>
    </w:p>
    <w:p>
      <w:pPr>
        <w:pStyle w:val="4"/>
        <w:numPr>
          <w:ilvl w:val="0"/>
          <w:numId w:val="5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计划的检查与反馈</w:t>
      </w:r>
    </w:p>
    <w:p>
      <w:pPr>
        <w:pStyle w:val="4"/>
        <w:numPr>
          <w:ilvl w:val="0"/>
          <w:numId w:val="4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控制与授权</w:t>
      </w:r>
    </w:p>
    <w:p>
      <w:pPr>
        <w:pStyle w:val="4"/>
        <w:numPr>
          <w:ilvl w:val="0"/>
          <w:numId w:val="6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领导者角色定位</w:t>
      </w:r>
    </w:p>
    <w:p>
      <w:pPr>
        <w:pStyle w:val="4"/>
        <w:numPr>
          <w:ilvl w:val="0"/>
          <w:numId w:val="6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不同层级的工作任务</w:t>
      </w:r>
    </w:p>
    <w:p>
      <w:pPr>
        <w:pStyle w:val="4"/>
        <w:numPr>
          <w:ilvl w:val="0"/>
          <w:numId w:val="6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发现问题与解决问题的方法</w:t>
      </w:r>
    </w:p>
    <w:p>
      <w:pPr>
        <w:pStyle w:val="4"/>
        <w:numPr>
          <w:ilvl w:val="0"/>
          <w:numId w:val="6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领导者如何有效授权</w:t>
      </w:r>
    </w:p>
    <w:p>
      <w:pPr>
        <w:pStyle w:val="4"/>
        <w:numPr>
          <w:ilvl w:val="0"/>
          <w:numId w:val="4"/>
        </w:numPr>
        <w:shd w:val="clear" w:color="auto"/>
        <w:spacing w:before="0" w:beforeAutospacing="0" w:after="0" w:afterAutospacing="0" w:line="300" w:lineRule="exact"/>
        <w:ind w:hanging="139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情景领导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了解下属的工作状态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领导的工作行为与关系行为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指挥式领导的情境应用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教练式领导的情境应用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协助式领导的情境应用</w:t>
      </w:r>
    </w:p>
    <w:p>
      <w:pPr>
        <w:pStyle w:val="4"/>
        <w:numPr>
          <w:ilvl w:val="1"/>
          <w:numId w:val="4"/>
        </w:numPr>
        <w:shd w:val="clear" w:color="auto"/>
        <w:spacing w:before="0" w:beforeAutospacing="0" w:after="0" w:afterAutospacing="0" w:line="300" w:lineRule="exact"/>
        <w:ind w:left="993" w:hanging="142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授权式领导的情境应用</w:t>
      </w:r>
    </w:p>
    <w:p>
      <w:pPr>
        <w:pStyle w:val="4"/>
        <w:shd w:val="clear" w:color="auto"/>
        <w:spacing w:before="0" w:beforeAutospacing="0" w:after="0" w:afterAutospacing="0" w:line="300" w:lineRule="exact"/>
        <w:ind w:left="630" w:firstLine="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pStyle w:val="4"/>
        <w:shd w:val="clear" w:color="auto"/>
        <w:spacing w:before="0" w:beforeAutospacing="0" w:after="0" w:afterAutospacing="0" w:line="300" w:lineRule="exact"/>
        <w:ind w:firstLine="968" w:firstLineChars="403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第四部分：如何用激励激发执行力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8" w:firstLineChars="403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1.正确理解激励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851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1)  激励的心理机制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851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2） 行为激励的途径分析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851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3） 激励的两个重要功能：强化与示范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851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4） 激励过程比激励结果更重要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851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5） 激励体系的原则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8" w:firstLineChars="403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2. 现代激励原理运用</w:t>
      </w:r>
    </w:p>
    <w:p>
      <w:pPr>
        <w:widowControl/>
        <w:shd w:val="clear"/>
        <w:spacing w:line="315" w:lineRule="atLeast"/>
        <w:ind w:firstLine="960" w:firstLineChars="400"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</w:rPr>
        <w:t>马斯洛需要层次理论、ERG 理论、成就需要理论、双因素理论、过程激励理论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968" w:firstLineChars="403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3. 物质激励的设计</w:t>
      </w:r>
    </w:p>
    <w:p>
      <w:pPr>
        <w:pStyle w:val="4"/>
        <w:numPr>
          <w:ilvl w:val="1"/>
          <w:numId w:val="7"/>
        </w:numPr>
        <w:shd w:val="clear" w:color="auto"/>
        <w:spacing w:before="0" w:beforeAutospacing="0" w:after="0" w:afterAutospacing="0" w:line="300" w:lineRule="exact"/>
        <w:ind w:hanging="28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设计有效的薪酬结构：</w:t>
      </w:r>
    </w:p>
    <w:p>
      <w:pPr>
        <w:pStyle w:val="4"/>
        <w:numPr>
          <w:ilvl w:val="1"/>
          <w:numId w:val="7"/>
        </w:numPr>
        <w:shd w:val="clear" w:color="auto"/>
        <w:spacing w:before="0" w:beforeAutospacing="0" w:after="0" w:afterAutospacing="0" w:line="300" w:lineRule="exact"/>
        <w:ind w:hanging="28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3PM薪酬体系介绍</w:t>
      </w:r>
    </w:p>
    <w:p>
      <w:pPr>
        <w:pStyle w:val="4"/>
        <w:numPr>
          <w:ilvl w:val="1"/>
          <w:numId w:val="7"/>
        </w:numPr>
        <w:shd w:val="clear" w:color="auto"/>
        <w:spacing w:before="0" w:beforeAutospacing="0" w:after="0" w:afterAutospacing="0" w:line="300" w:lineRule="exact"/>
        <w:ind w:hanging="28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从“发奖金”到“挣奖金”</w:t>
      </w:r>
    </w:p>
    <w:p>
      <w:pPr>
        <w:pStyle w:val="4"/>
        <w:numPr>
          <w:ilvl w:val="1"/>
          <w:numId w:val="7"/>
        </w:numPr>
        <w:shd w:val="clear" w:color="auto"/>
        <w:spacing w:before="0" w:beforeAutospacing="0" w:after="0" w:afterAutospacing="0" w:line="300" w:lineRule="exact"/>
        <w:ind w:hanging="289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合理的奖金发放时间设计</w:t>
      </w:r>
    </w:p>
    <w:p>
      <w:pPr>
        <w:pStyle w:val="4"/>
        <w:numPr>
          <w:ilvl w:val="1"/>
          <w:numId w:val="7"/>
        </w:numPr>
        <w:shd w:val="clear" w:color="auto"/>
        <w:spacing w:before="0" w:beforeAutospacing="0" w:after="0" w:afterAutospacing="0" w:line="300" w:lineRule="exact"/>
        <w:ind w:left="567" w:hanging="425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长期激励的设计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161" w:firstLineChars="67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4. 非物质激励的九大方略</w:t>
      </w:r>
    </w:p>
    <w:p>
      <w:pPr>
        <w:pStyle w:val="4"/>
        <w:shd w:val="clear" w:color="auto"/>
        <w:spacing w:before="0" w:beforeAutospacing="0" w:after="0" w:afterAutospacing="0" w:line="300" w:lineRule="exact"/>
        <w:ind w:firstLine="480" w:firstLineChars="200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333333"/>
          <w:sz w:val="24"/>
          <w:szCs w:val="24"/>
        </w:rPr>
        <w:t>愿景激励、赞美激励、荣誉激励、晋升激励、情感激励、</w:t>
      </w:r>
    </w:p>
    <w:p>
      <w:pPr>
        <w:widowControl/>
        <w:shd w:val="clear"/>
        <w:spacing w:line="315" w:lineRule="atLeast"/>
        <w:ind w:firstLine="480" w:firstLineChars="200"/>
        <w:jc w:val="left"/>
        <w:rPr>
          <w:rFonts w:hint="eastAsia" w:ascii="微软雅黑" w:hAnsi="微软雅黑" w:eastAsia="微软雅黑" w:cs="微软雅黑"/>
          <w:bCs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Cs/>
          <w:color w:val="333333"/>
          <w:kern w:val="0"/>
          <w:sz w:val="24"/>
          <w:szCs w:val="24"/>
        </w:rPr>
        <w:t>授权激励培训激励、竞争激励、授权激励、餐饮娱乐激励</w:t>
      </w:r>
    </w:p>
    <w:p>
      <w:pPr>
        <w:widowControl/>
        <w:shd w:val="clear"/>
        <w:spacing w:line="315" w:lineRule="atLeast"/>
        <w:ind w:firstLine="420" w:firstLineChars="200"/>
        <w:jc w:val="left"/>
        <w:rPr>
          <w:rFonts w:hint="eastAsia" w:ascii="Verdana" w:hAnsi="Verdana" w:cs="宋体"/>
          <w:bCs/>
          <w:color w:val="333333"/>
          <w:kern w:val="0"/>
          <w:szCs w:val="21"/>
        </w:rPr>
      </w:pPr>
    </w:p>
    <w:p>
      <w:pPr>
        <w:shd w:val="clear"/>
        <w:rPr>
          <w:rFonts w:hint="eastAsia" w:ascii="黑体" w:hAnsi="黑体" w:eastAsia="黑体" w:cs="Arial"/>
          <w:b/>
          <w:color w:val="000000"/>
          <w:kern w:val="0"/>
          <w:sz w:val="24"/>
          <w:szCs w:val="21"/>
        </w:rPr>
      </w:pPr>
    </w:p>
    <w:p>
      <w:pPr>
        <w:shd w:val="clear"/>
        <w:rPr>
          <w:rFonts w:hint="eastAsia" w:ascii="黑体" w:hAnsi="黑体" w:eastAsia="黑体" w:cs="Arial"/>
          <w:b/>
          <w:color w:val="000000"/>
          <w:kern w:val="0"/>
          <w:sz w:val="24"/>
          <w:szCs w:val="21"/>
        </w:rPr>
      </w:pPr>
    </w:p>
    <w:p>
      <w:pPr>
        <w:shd w:val="clear"/>
        <w:spacing w:line="460" w:lineRule="exact"/>
        <w:rPr>
          <w:rFonts w:hint="eastAsia" w:ascii="微软雅黑" w:hAnsi="微软雅黑" w:eastAsia="微软雅黑"/>
          <w:sz w:val="24"/>
          <w:szCs w:val="24"/>
        </w:rPr>
      </w:pPr>
    </w:p>
    <w:p>
      <w:pPr>
        <w:shd w:val="clea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8A4C9D"/>
    <w:multiLevelType w:val="singleLevel"/>
    <w:tmpl w:val="CB8A4C9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6093C3D"/>
    <w:multiLevelType w:val="multilevel"/>
    <w:tmpl w:val="06093C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E04845"/>
    <w:multiLevelType w:val="multilevel"/>
    <w:tmpl w:val="4AE04845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41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619152CA"/>
    <w:multiLevelType w:val="multilevel"/>
    <w:tmpl w:val="619152CA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Tahom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F74C69"/>
    <w:multiLevelType w:val="multilevel"/>
    <w:tmpl w:val="66F74C69"/>
    <w:lvl w:ilvl="0" w:tentative="0">
      <w:start w:val="1"/>
      <w:numFmt w:val="decimal"/>
      <w:lvlText w:val="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D6C0F2E"/>
    <w:multiLevelType w:val="multilevel"/>
    <w:tmpl w:val="6D6C0F2E"/>
    <w:lvl w:ilvl="0" w:tentative="0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78E94CDF"/>
    <w:multiLevelType w:val="multilevel"/>
    <w:tmpl w:val="78E94CDF"/>
    <w:lvl w:ilvl="0" w:tentative="0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B5B8E"/>
    <w:rsid w:val="0D9C3C37"/>
    <w:rsid w:val="1A1F56D3"/>
    <w:rsid w:val="565D1FD8"/>
    <w:rsid w:val="639061C2"/>
    <w:rsid w:val="7EA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2019-07-05T02:19:00Z</dcterms:created>
  <dc:creator>admin</dc:creator>
  <cp:lastModifiedBy>楼林波</cp:lastModifiedBy>
  <dcterms:modified xsi:type="dcterms:W3CDTF">2020-08-13T08:04:03Z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