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余姚市人民政府招商中心20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lang w:eastAsia="zh-CN"/>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2021年在市委市政府的领导下，市招商中心认真贯彻《中华人民共和国政府信息公开条例》的各项要求，结合招商引资工作实际，加强组织协调，完善体制机制，拓展公开内容，狠抓责任落实，扎实推进政府信息公开工作，逐步提升工作质量。2021</w:t>
      </w:r>
      <w:r>
        <w:rPr>
          <w:rFonts w:hint="default" w:ascii="仿宋_GB2312" w:hAnsi="宋体" w:eastAsia="仿宋_GB2312" w:cs="仿宋_GB2312"/>
          <w:i w:val="0"/>
          <w:caps w:val="0"/>
          <w:color w:val="333333"/>
          <w:spacing w:val="0"/>
          <w:sz w:val="31"/>
          <w:szCs w:val="31"/>
          <w:highlight w:val="none"/>
          <w:shd w:val="clear" w:fill="FFFFFF"/>
        </w:rPr>
        <w:t>全年在市政府信息公开中主动公开信息12</w:t>
      </w:r>
      <w:r>
        <w:rPr>
          <w:rFonts w:hint="eastAsia" w:ascii="仿宋_GB2312" w:hAnsi="宋体" w:eastAsia="仿宋_GB2312" w:cs="仿宋_GB2312"/>
          <w:i w:val="0"/>
          <w:caps w:val="0"/>
          <w:color w:val="333333"/>
          <w:spacing w:val="0"/>
          <w:sz w:val="31"/>
          <w:szCs w:val="31"/>
          <w:highlight w:val="none"/>
          <w:shd w:val="clear" w:fill="FFFFFF"/>
          <w:lang w:val="en-US" w:eastAsia="zh-CN"/>
        </w:rPr>
        <w:t>1</w:t>
      </w:r>
      <w:r>
        <w:rPr>
          <w:rFonts w:hint="default" w:ascii="仿宋_GB2312" w:hAnsi="宋体" w:eastAsia="仿宋_GB2312" w:cs="仿宋_GB2312"/>
          <w:i w:val="0"/>
          <w:caps w:val="0"/>
          <w:color w:val="333333"/>
          <w:spacing w:val="0"/>
          <w:sz w:val="31"/>
          <w:szCs w:val="31"/>
          <w:highlight w:val="none"/>
          <w:shd w:val="clear" w:fill="FFFFFF"/>
        </w:rPr>
        <w:t>条</w:t>
      </w:r>
      <w:r>
        <w:rPr>
          <w:rFonts w:hint="eastAsia" w:ascii="仿宋_GB2312" w:hAnsi="宋体" w:eastAsia="仿宋_GB2312" w:cs="仿宋_GB2312"/>
          <w:i w:val="0"/>
          <w:caps w:val="0"/>
          <w:color w:val="333333"/>
          <w:spacing w:val="0"/>
          <w:sz w:val="31"/>
          <w:szCs w:val="31"/>
          <w:highlight w:val="none"/>
          <w:shd w:val="clear" w:fill="FFFFFF"/>
          <w:lang w:eastAsia="zh-CN"/>
        </w:rPr>
        <w:t>，</w:t>
      </w:r>
      <w:r>
        <w:rPr>
          <w:rFonts w:hint="eastAsia" w:ascii="Times New Roman" w:hAnsi="Times New Roman" w:eastAsia="仿宋_GB2312" w:cs="Times New Roman"/>
          <w:b w:val="0"/>
          <w:bCs w:val="0"/>
          <w:snapToGrid w:val="0"/>
          <w:kern w:val="0"/>
          <w:sz w:val="32"/>
          <w:szCs w:val="32"/>
          <w:highlight w:val="none"/>
          <w:lang w:val="en-US" w:eastAsia="zh-CN"/>
        </w:rPr>
        <w:t>微信公众号“投资余姚”主动公开基本信息55条；2021年市招商中心共受理政府信息公开申请0件。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drawing>
          <wp:inline distT="0" distB="0" distL="114300" distR="114300">
            <wp:extent cx="3994785" cy="4201160"/>
            <wp:effectExtent l="0" t="0" r="571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540" b="1021"/>
                    <a:stretch>
                      <a:fillRect/>
                    </a:stretch>
                  </pic:blipFill>
                  <pic:spPr>
                    <a:xfrm>
                      <a:off x="0" y="0"/>
                      <a:ext cx="3994785" cy="420116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楷体" w:hAnsi="楷体" w:eastAsia="楷体" w:cs="楷体"/>
          <w:b w:val="0"/>
          <w:bCs w:val="0"/>
          <w:snapToGrid w:val="0"/>
          <w:kern w:val="0"/>
          <w:sz w:val="32"/>
          <w:szCs w:val="32"/>
          <w:highlight w:val="none"/>
          <w:lang w:val="en-US" w:eastAsia="zh-CN"/>
        </w:rPr>
      </w:pPr>
      <w:r>
        <w:rPr>
          <w:rFonts w:hint="eastAsia" w:ascii="楷体" w:hAnsi="楷体" w:eastAsia="楷体" w:cs="楷体"/>
          <w:b w:val="0"/>
          <w:bCs w:val="0"/>
          <w:snapToGrid w:val="0"/>
          <w:kern w:val="0"/>
          <w:sz w:val="32"/>
          <w:szCs w:val="32"/>
          <w:highlight w:val="none"/>
          <w:lang w:val="en-US" w:eastAsia="zh-CN"/>
        </w:rPr>
        <w:t>（一）强化组织领导，不断夯实信息公开工作基础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中心高度重视政府信息公开工作，及时调整政府信息公开工作领导小组成员，中心主任戚红军为组长，分管副主任潘彪为副组长，各科室负责人为成员。明确政务公开具体工作由办公室负责。办公室配备工作人员，专门收集、整理和发送各类政务信息，形成“主要领导亲自抓，分管领导具体抓，职能科室抓落实”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楷体" w:hAnsi="楷体" w:eastAsia="楷体" w:cs="楷体"/>
          <w:b w:val="0"/>
          <w:bCs w:val="0"/>
          <w:snapToGrid w:val="0"/>
          <w:kern w:val="0"/>
          <w:sz w:val="32"/>
          <w:szCs w:val="32"/>
          <w:highlight w:val="none"/>
          <w:lang w:val="en-US" w:eastAsia="zh-CN"/>
        </w:rPr>
      </w:pPr>
      <w:r>
        <w:rPr>
          <w:rFonts w:hint="eastAsia" w:ascii="楷体" w:hAnsi="楷体" w:eastAsia="楷体" w:cs="楷体"/>
          <w:b w:val="0"/>
          <w:bCs w:val="0"/>
          <w:snapToGrid w:val="0"/>
          <w:kern w:val="0"/>
          <w:sz w:val="32"/>
          <w:szCs w:val="32"/>
          <w:highlight w:val="none"/>
          <w:lang w:val="en-US" w:eastAsia="zh-CN"/>
        </w:rPr>
        <w:t>（二）强化制度建设，确保信息公开工作规范运行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建立健全中心《政府信息公开保密审查制度》、《政府信息公开发布审核制度》等相关制度，严格落实“涉密不上网，上网不涉密”、 “谁上网，谁负责，谁审批，谁负责”等工作要求，进一步保障了中心政府信息公开内容的安全性，为政务公开信息的准确性、完整性和时效性提供制度保障。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楷体" w:hAnsi="楷体" w:eastAsia="楷体" w:cs="楷体"/>
          <w:b w:val="0"/>
          <w:bCs w:val="0"/>
          <w:snapToGrid w:val="0"/>
          <w:kern w:val="0"/>
          <w:sz w:val="32"/>
          <w:szCs w:val="32"/>
          <w:highlight w:val="none"/>
          <w:lang w:val="en-US" w:eastAsia="zh-CN"/>
        </w:rPr>
      </w:pPr>
      <w:r>
        <w:rPr>
          <w:rFonts w:hint="eastAsia" w:ascii="楷体" w:hAnsi="楷体" w:eastAsia="楷体" w:cs="楷体"/>
          <w:b w:val="0"/>
          <w:bCs w:val="0"/>
          <w:snapToGrid w:val="0"/>
          <w:kern w:val="0"/>
          <w:sz w:val="32"/>
          <w:szCs w:val="32"/>
          <w:highlight w:val="none"/>
          <w:lang w:val="en-US" w:eastAsia="zh-CN"/>
        </w:rPr>
        <w:t>（三）强化学习培训，持续提升信息公开工作水平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今年以来组织人员参加全省政务新媒体线上培训会和宁波市商务系统政务工作培训班等各级部门主办的政务信息专题培训，提高了政务工作相关人员的业务水平，为本单位信息公开工作的改进和完善提供了强有力的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楷体" w:hAnsi="楷体" w:eastAsia="楷体" w:cs="楷体"/>
          <w:b w:val="0"/>
          <w:bCs w:val="0"/>
          <w:snapToGrid w:val="0"/>
          <w:kern w:val="0"/>
          <w:sz w:val="32"/>
          <w:szCs w:val="32"/>
          <w:highlight w:val="none"/>
          <w:lang w:val="en-US" w:eastAsia="zh-CN"/>
        </w:rPr>
      </w:pPr>
      <w:r>
        <w:rPr>
          <w:rFonts w:hint="eastAsia" w:ascii="楷体" w:hAnsi="楷体" w:eastAsia="楷体" w:cs="楷体"/>
          <w:b w:val="0"/>
          <w:bCs w:val="0"/>
          <w:snapToGrid w:val="0"/>
          <w:kern w:val="0"/>
          <w:sz w:val="32"/>
          <w:szCs w:val="32"/>
          <w:highlight w:val="none"/>
          <w:lang w:val="en-US" w:eastAsia="zh-CN"/>
        </w:rPr>
        <w:t>（四）强化监督检查，确保信息公开工作落实落细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b w:val="0"/>
          <w:bCs w:val="0"/>
          <w:snapToGrid w:val="0"/>
          <w:kern w:val="0"/>
          <w:sz w:val="32"/>
          <w:szCs w:val="32"/>
          <w:highlight w:val="none"/>
          <w:lang w:val="en-US" w:eastAsia="zh-CN"/>
        </w:rPr>
      </w:pPr>
      <w:r>
        <w:rPr>
          <w:rFonts w:hint="eastAsia" w:ascii="Times New Roman" w:hAnsi="Times New Roman" w:eastAsia="仿宋_GB2312" w:cs="Times New Roman"/>
          <w:b w:val="0"/>
          <w:bCs w:val="0"/>
          <w:snapToGrid w:val="0"/>
          <w:kern w:val="0"/>
          <w:sz w:val="32"/>
          <w:szCs w:val="32"/>
          <w:highlight w:val="none"/>
          <w:lang w:val="en-US" w:eastAsia="zh-CN"/>
        </w:rPr>
        <w:t>采取多种形式强化监督检查。每季度认真学习分析《政府信息公开问题单汇总》中的问题，并及时完成对本单位《政府信息公开检查报告》中反馈问题的整改。全面梳理本单位制定的现行有效的政策文件并形成文件清单，按时完成政策文件系统清理统一公开工作。加强政务新媒体的管理监测，及时将政务双微纳入浙江省政务新媒体管理平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keepNext w:val="0"/>
        <w:keepLines w:val="0"/>
        <w:widowControl/>
        <w:suppressLineNumbers w:val="0"/>
        <w:jc w:val="left"/>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98"/>
        <w:gridCol w:w="67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7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7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四、政府信息公开行政复议、行政诉讼情况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p>
    <w:tbl>
      <w:tblPr>
        <w:tblStyle w:val="4"/>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宋体" w:hAnsi="宋体" w:eastAsia="宋体" w:cs="宋体"/>
                <w:color w:val="000000"/>
                <w:kern w:val="0"/>
                <w:sz w:val="20"/>
                <w:szCs w:val="20"/>
                <w:lang w:val="en-US" w:eastAsia="zh-CN" w:bidi="ar"/>
              </w:rPr>
              <w:t>0</w:t>
            </w: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五、存在的主要问题及改进情况</w:t>
      </w:r>
    </w:p>
    <w:p>
      <w:pPr>
        <w:keepNext w:val="0"/>
        <w:keepLines w:val="0"/>
        <w:pageBreakBefore w:val="0"/>
        <w:kinsoku/>
        <w:wordWrap/>
        <w:overflowPunct/>
        <w:topLinePunct w:val="0"/>
        <w:autoSpaceDE/>
        <w:bidi w:val="0"/>
        <w:spacing w:line="580" w:lineRule="exact"/>
        <w:ind w:firstLine="601"/>
        <w:textAlignment w:val="auto"/>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rPr>
        <w:t>20</w:t>
      </w:r>
      <w:r>
        <w:rPr>
          <w:rFonts w:hint="eastAsia" w:ascii="仿宋_GB2312" w:hAnsi="宋体" w:eastAsia="仿宋_GB2312"/>
          <w:color w:val="000000"/>
          <w:sz w:val="32"/>
          <w:szCs w:val="32"/>
          <w:highlight w:val="none"/>
          <w:lang w:val="en-US" w:eastAsia="zh-CN"/>
        </w:rPr>
        <w:t>21</w:t>
      </w:r>
      <w:r>
        <w:rPr>
          <w:rFonts w:hint="eastAsia" w:ascii="仿宋_GB2312" w:hAnsi="宋体" w:eastAsia="仿宋_GB2312"/>
          <w:color w:val="000000"/>
          <w:sz w:val="32"/>
          <w:szCs w:val="32"/>
          <w:highlight w:val="none"/>
        </w:rPr>
        <w:t>年，</w:t>
      </w:r>
      <w:r>
        <w:rPr>
          <w:rFonts w:hint="eastAsia" w:ascii="仿宋_GB2312" w:hAnsi="宋体" w:eastAsia="仿宋_GB2312"/>
          <w:color w:val="000000"/>
          <w:sz w:val="32"/>
          <w:szCs w:val="32"/>
          <w:highlight w:val="none"/>
          <w:lang w:eastAsia="zh-CN"/>
        </w:rPr>
        <w:t>市招商中心</w:t>
      </w:r>
      <w:r>
        <w:rPr>
          <w:rFonts w:hint="eastAsia" w:ascii="仿宋_GB2312" w:hAnsi="宋体" w:eastAsia="仿宋_GB2312"/>
          <w:color w:val="000000"/>
          <w:sz w:val="32"/>
          <w:szCs w:val="32"/>
          <w:highlight w:val="none"/>
        </w:rPr>
        <w:t>信息公开工作</w:t>
      </w:r>
      <w:r>
        <w:rPr>
          <w:rFonts w:hint="eastAsia" w:ascii="仿宋_GB2312" w:hAnsi="宋体" w:eastAsia="仿宋_GB2312"/>
          <w:color w:val="000000"/>
          <w:sz w:val="32"/>
          <w:szCs w:val="32"/>
          <w:highlight w:val="none"/>
          <w:lang w:eastAsia="zh-CN"/>
        </w:rPr>
        <w:t>取得了一定的成绩</w:t>
      </w:r>
      <w:r>
        <w:rPr>
          <w:rFonts w:hint="eastAsia" w:ascii="仿宋_GB2312" w:hAnsi="宋体" w:eastAsia="仿宋_GB2312"/>
          <w:color w:val="000000"/>
          <w:sz w:val="32"/>
          <w:szCs w:val="32"/>
          <w:highlight w:val="none"/>
        </w:rPr>
        <w:t>，但仍</w:t>
      </w:r>
      <w:r>
        <w:rPr>
          <w:rFonts w:hint="eastAsia" w:ascii="仿宋_GB2312" w:hAnsi="宋体" w:eastAsia="仿宋_GB2312"/>
          <w:color w:val="000000"/>
          <w:sz w:val="32"/>
          <w:szCs w:val="32"/>
          <w:highlight w:val="none"/>
          <w:lang w:eastAsia="zh-CN"/>
        </w:rPr>
        <w:t>存在公开内容和形式不够丰富、宣传力度有待加强等问题。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202</w:t>
      </w:r>
      <w:r>
        <w:rPr>
          <w:rFonts w:hint="eastAsia" w:ascii="仿宋_GB2312" w:hAnsi="宋体" w:eastAsia="仿宋_GB2312"/>
          <w:color w:val="000000"/>
          <w:sz w:val="32"/>
          <w:szCs w:val="32"/>
          <w:highlight w:val="none"/>
          <w:lang w:val="en-US" w:eastAsia="zh-CN"/>
        </w:rPr>
        <w:t>2</w:t>
      </w:r>
      <w:r>
        <w:rPr>
          <w:rFonts w:hint="eastAsia" w:ascii="仿宋_GB2312" w:hAnsi="宋体" w:eastAsia="仿宋_GB2312"/>
          <w:color w:val="000000"/>
          <w:sz w:val="32"/>
          <w:szCs w:val="32"/>
          <w:highlight w:val="none"/>
        </w:rPr>
        <w:t>年，</w:t>
      </w:r>
      <w:r>
        <w:rPr>
          <w:rFonts w:hint="eastAsia" w:ascii="仿宋_GB2312" w:hAnsi="宋体" w:eastAsia="仿宋_GB2312"/>
          <w:color w:val="000000"/>
          <w:sz w:val="32"/>
          <w:szCs w:val="32"/>
          <w:highlight w:val="none"/>
          <w:lang w:eastAsia="zh-CN"/>
        </w:rPr>
        <w:t>市招商中心</w:t>
      </w:r>
      <w:r>
        <w:rPr>
          <w:rFonts w:hint="eastAsia" w:ascii="仿宋_GB2312" w:hAnsi="宋体" w:eastAsia="仿宋_GB2312"/>
          <w:color w:val="000000"/>
          <w:sz w:val="32"/>
          <w:szCs w:val="32"/>
          <w:highlight w:val="none"/>
        </w:rPr>
        <w:t>将严格按照</w:t>
      </w:r>
      <w:r>
        <w:rPr>
          <w:rFonts w:hint="eastAsia" w:ascii="仿宋_GB2312" w:hAnsi="宋体" w:eastAsia="仿宋_GB2312"/>
          <w:color w:val="000000"/>
          <w:sz w:val="32"/>
          <w:szCs w:val="32"/>
          <w:highlight w:val="none"/>
          <w:lang w:eastAsia="zh-CN"/>
        </w:rPr>
        <w:t>市</w:t>
      </w:r>
      <w:r>
        <w:rPr>
          <w:rFonts w:hint="eastAsia" w:ascii="仿宋_GB2312" w:hAnsi="宋体" w:eastAsia="仿宋_GB2312"/>
          <w:color w:val="000000"/>
          <w:sz w:val="32"/>
          <w:szCs w:val="32"/>
          <w:highlight w:val="none"/>
        </w:rPr>
        <w:t>政府的部署要求，认真分析，深入细致地调查研究，继续严格按照</w:t>
      </w:r>
      <w:r>
        <w:rPr>
          <w:rFonts w:hint="eastAsia" w:ascii="仿宋_GB2312" w:hAnsi="宋体" w:eastAsia="仿宋_GB2312"/>
          <w:color w:val="000000"/>
          <w:sz w:val="32"/>
          <w:szCs w:val="32"/>
          <w:highlight w:val="none"/>
          <w:lang w:eastAsia="zh-CN"/>
        </w:rPr>
        <w:t>信息</w:t>
      </w:r>
      <w:r>
        <w:rPr>
          <w:rFonts w:hint="eastAsia" w:ascii="仿宋_GB2312" w:hAnsi="宋体" w:eastAsia="仿宋_GB2312"/>
          <w:color w:val="000000"/>
          <w:sz w:val="32"/>
          <w:szCs w:val="32"/>
          <w:highlight w:val="none"/>
        </w:rPr>
        <w:t>公开工作</w:t>
      </w:r>
      <w:r>
        <w:rPr>
          <w:rFonts w:hint="eastAsia" w:ascii="仿宋_GB2312" w:hAnsi="宋体" w:eastAsia="仿宋_GB2312"/>
          <w:color w:val="000000"/>
          <w:sz w:val="32"/>
          <w:szCs w:val="32"/>
          <w:highlight w:val="none"/>
          <w:lang w:eastAsia="zh-CN"/>
        </w:rPr>
        <w:t>的</w:t>
      </w:r>
      <w:r>
        <w:rPr>
          <w:rFonts w:hint="eastAsia" w:ascii="仿宋_GB2312" w:hAnsi="宋体" w:eastAsia="仿宋_GB2312"/>
          <w:color w:val="000000"/>
          <w:sz w:val="32"/>
          <w:szCs w:val="32"/>
          <w:highlight w:val="none"/>
        </w:rPr>
        <w:t>要求和目标，扎实推进各项工作。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highlight w:val="none"/>
          <w:lang w:eastAsia="zh-CN"/>
        </w:rPr>
      </w:pPr>
      <w:r>
        <w:rPr>
          <w:rFonts w:hint="eastAsia" w:ascii="仿宋_GB2312" w:hAnsi="宋体" w:eastAsia="仿宋_GB2312"/>
          <w:color w:val="000000"/>
          <w:sz w:val="32"/>
          <w:szCs w:val="32"/>
          <w:highlight w:val="none"/>
        </w:rPr>
        <w:t>一是进一步</w:t>
      </w:r>
      <w:r>
        <w:rPr>
          <w:rFonts w:hint="eastAsia" w:ascii="仿宋_GB2312" w:hAnsi="宋体" w:eastAsia="仿宋_GB2312"/>
          <w:color w:val="000000"/>
          <w:sz w:val="32"/>
          <w:szCs w:val="32"/>
          <w:highlight w:val="none"/>
          <w:lang w:eastAsia="zh-CN"/>
        </w:rPr>
        <w:t>充实政府信息公开的内容形式，拓宽渠道、丰富载体，及时回应企业和投资商关切的问题。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二是进一步提升政策发布解读质量</w:t>
      </w:r>
      <w:r>
        <w:rPr>
          <w:rFonts w:hint="eastAsia" w:ascii="仿宋_GB2312" w:hAnsi="宋体" w:eastAsia="仿宋_GB2312"/>
          <w:color w:val="000000"/>
          <w:sz w:val="32"/>
          <w:szCs w:val="32"/>
          <w:highlight w:val="none"/>
          <w:lang w:eastAsia="zh-CN"/>
        </w:rPr>
        <w:t>，</w:t>
      </w:r>
      <w:r>
        <w:rPr>
          <w:rFonts w:hint="eastAsia" w:ascii="仿宋_GB2312" w:hAnsi="宋体" w:eastAsia="仿宋_GB2312"/>
          <w:color w:val="000000"/>
          <w:sz w:val="32"/>
          <w:szCs w:val="32"/>
          <w:highlight w:val="none"/>
        </w:rPr>
        <w:t>创新政策解读形式，增强政策解读效果，全面提升解读工作质量。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三是进一步</w:t>
      </w:r>
      <w:r>
        <w:rPr>
          <w:rFonts w:hint="eastAsia" w:ascii="仿宋_GB2312" w:hAnsi="宋体" w:eastAsia="仿宋_GB2312"/>
          <w:color w:val="000000"/>
          <w:sz w:val="32"/>
          <w:szCs w:val="32"/>
          <w:highlight w:val="none"/>
          <w:lang w:eastAsia="zh-CN"/>
        </w:rPr>
        <w:t>强化培训，</w:t>
      </w:r>
      <w:r>
        <w:rPr>
          <w:rFonts w:hint="eastAsia" w:ascii="仿宋_GB2312" w:hAnsi="宋体" w:eastAsia="仿宋_GB2312"/>
          <w:color w:val="000000"/>
          <w:sz w:val="32"/>
          <w:szCs w:val="32"/>
          <w:highlight w:val="none"/>
        </w:rPr>
        <w:t>加强对中心全体工作人员关于</w:t>
      </w:r>
      <w:r>
        <w:rPr>
          <w:rFonts w:hint="eastAsia" w:ascii="仿宋_GB2312" w:hAnsi="宋体" w:eastAsia="仿宋_GB2312"/>
          <w:color w:val="000000"/>
          <w:sz w:val="32"/>
          <w:szCs w:val="32"/>
          <w:highlight w:val="none"/>
          <w:lang w:eastAsia="zh-CN"/>
        </w:rPr>
        <w:t>信息</w:t>
      </w:r>
      <w:r>
        <w:rPr>
          <w:rFonts w:hint="eastAsia" w:ascii="仿宋_GB2312" w:hAnsi="宋体" w:eastAsia="仿宋_GB2312"/>
          <w:color w:val="000000"/>
          <w:sz w:val="32"/>
          <w:szCs w:val="32"/>
          <w:highlight w:val="none"/>
        </w:rPr>
        <w:t>公开知识的培训，提升公开意识，提高业务水平。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napToGrid w:val="0"/>
          <w:kern w:val="0"/>
          <w:sz w:val="32"/>
          <w:szCs w:val="32"/>
          <w:highlight w:val="none"/>
          <w:lang w:val="en-US" w:eastAsia="zh-CN"/>
        </w:rPr>
      </w:pPr>
      <w:r>
        <w:rPr>
          <w:rFonts w:hint="eastAsia" w:ascii="黑体" w:hAnsi="黑体" w:eastAsia="黑体" w:cs="黑体"/>
          <w:b w:val="0"/>
          <w:bCs w:val="0"/>
          <w:snapToGrid w:val="0"/>
          <w:kern w:val="0"/>
          <w:sz w:val="32"/>
          <w:szCs w:val="32"/>
          <w:highlight w:val="none"/>
          <w:lang w:val="en-US" w:eastAsia="zh-CN"/>
        </w:rPr>
        <w:t>六、其他需要报告的事项</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无。</w:t>
      </w: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textAlignment w:val="auto"/>
        <w:rPr>
          <w:rFonts w:hint="eastAsia" w:ascii="仿宋_GB2312" w:eastAsia="仿宋_GB2312"/>
          <w:color w:val="000000"/>
          <w:sz w:val="32"/>
          <w:szCs w:val="32"/>
          <w:shd w:val="clear" w:color="auto" w:fill="FFFFFF"/>
          <w:lang w:val="en-US" w:eastAsia="zh-CN"/>
        </w:rPr>
      </w:pPr>
    </w:p>
    <w:p>
      <w:pPr>
        <w:keepNext w:val="0"/>
        <w:keepLines w:val="0"/>
        <w:pageBreakBefore w:val="0"/>
        <w:numPr>
          <w:ilvl w:val="0"/>
          <w:numId w:val="0"/>
        </w:numPr>
        <w:kinsoku/>
        <w:wordWrap/>
        <w:overflowPunct/>
        <w:topLinePunct w:val="0"/>
        <w:autoSpaceDE/>
        <w:bidi w:val="0"/>
        <w:spacing w:line="580" w:lineRule="exact"/>
        <w:ind w:firstLine="640"/>
        <w:jc w:val="right"/>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余姚市人民政府招商中心</w:t>
      </w:r>
    </w:p>
    <w:p>
      <w:pPr>
        <w:keepNext w:val="0"/>
        <w:keepLines w:val="0"/>
        <w:pageBreakBefore w:val="0"/>
        <w:numPr>
          <w:ilvl w:val="0"/>
          <w:numId w:val="0"/>
        </w:numPr>
        <w:kinsoku/>
        <w:wordWrap w:val="0"/>
        <w:overflowPunct/>
        <w:topLinePunct w:val="0"/>
        <w:autoSpaceDE/>
        <w:bidi w:val="0"/>
        <w:spacing w:line="580" w:lineRule="exact"/>
        <w:ind w:firstLine="640"/>
        <w:jc w:val="right"/>
        <w:textAlignment w:val="auto"/>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2021年12月31日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古隶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D8"/>
    <w:multiLevelType w:val="singleLevel"/>
    <w:tmpl w:val="00ED3AD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039FF"/>
    <w:rsid w:val="194C61FD"/>
    <w:rsid w:val="2E7E714C"/>
    <w:rsid w:val="303227D2"/>
    <w:rsid w:val="30BC0A18"/>
    <w:rsid w:val="34F66A6A"/>
    <w:rsid w:val="3C6F1ADF"/>
    <w:rsid w:val="3D8577F1"/>
    <w:rsid w:val="441F51AD"/>
    <w:rsid w:val="49522137"/>
    <w:rsid w:val="521E31D5"/>
    <w:rsid w:val="53ED0657"/>
    <w:rsid w:val="62F41C20"/>
    <w:rsid w:val="64E73EFB"/>
    <w:rsid w:val="67E46EF5"/>
    <w:rsid w:val="68C039FF"/>
    <w:rsid w:val="69F742A9"/>
    <w:rsid w:val="789D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Calibri"/>
      <w:kern w:val="2"/>
      <w:sz w:val="30"/>
      <w:szCs w:val="30"/>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2021-12-28T08:33:00Z</dcterms:created>
  <dc:creator>匿名用户</dc:creator>
  <cp:lastModifiedBy>匿名用户</cp:lastModifiedBy>
  <dcterms:modified xsi:type="dcterms:W3CDTF">2021-12-30T12:36:36Z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