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-105" w:leftChars="-50" w:right="-105" w:rightChars="-50"/>
        <w:jc w:val="center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>余姚市2018年第</w:t>
      </w:r>
      <w:r>
        <w:rPr>
          <w:rFonts w:hint="eastAsia" w:ascii="宋体" w:hAnsi="宋体" w:cs="宋体"/>
          <w:i w:val="0"/>
          <w:color w:val="000000"/>
          <w:sz w:val="32"/>
          <w:szCs w:val="32"/>
          <w:u w:val="none"/>
          <w:lang w:eastAsia="zh-CN"/>
        </w:rPr>
        <w:t>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>季度国控污水处理厂监测数据</w:t>
      </w:r>
    </w:p>
    <w:p>
      <w:pPr>
        <w:spacing w:line="320" w:lineRule="exact"/>
        <w:ind w:left="-105" w:leftChars="-50" w:right="-105" w:rightChars="-50"/>
        <w:jc w:val="center"/>
        <w:rPr>
          <w:rFonts w:hint="eastAsia" w:ascii="楷体_GB2312" w:eastAsia="楷体_GB2312"/>
          <w:bCs/>
          <w:szCs w:val="21"/>
        </w:rPr>
      </w:pPr>
    </w:p>
    <w:p>
      <w:pPr>
        <w:spacing w:line="320" w:lineRule="exact"/>
        <w:ind w:left="-105" w:leftChars="-50" w:right="-105" w:rightChars="-50"/>
        <w:jc w:val="center"/>
        <w:rPr>
          <w:rFonts w:hint="eastAsia" w:ascii="楷体_GB2312" w:eastAsia="楷体_GB2312"/>
          <w:bCs/>
          <w:szCs w:val="21"/>
        </w:rPr>
      </w:pPr>
    </w:p>
    <w:tbl>
      <w:tblPr>
        <w:tblStyle w:val="5"/>
        <w:tblW w:w="13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51"/>
        <w:gridCol w:w="788"/>
        <w:gridCol w:w="1593"/>
        <w:gridCol w:w="767"/>
        <w:gridCol w:w="615"/>
        <w:gridCol w:w="841"/>
        <w:gridCol w:w="854"/>
        <w:gridCol w:w="803"/>
        <w:gridCol w:w="763"/>
        <w:gridCol w:w="886"/>
        <w:gridCol w:w="963"/>
        <w:gridCol w:w="937"/>
        <w:gridCol w:w="763"/>
        <w:gridCol w:w="958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77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bCs/>
                <w:w w:val="95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val="en-US" w:eastAsia="zh-CN"/>
              </w:rPr>
              <w:t>企业名称：</w:t>
            </w:r>
            <w:r>
              <w:rPr>
                <w:rFonts w:hint="eastAsia" w:ascii="楷体_GB2312" w:eastAsia="楷体_GB2312"/>
                <w:bCs/>
                <w:szCs w:val="21"/>
              </w:rPr>
              <w:t>宁波黄家埠滨海污水处理有限公司</w:t>
            </w:r>
          </w:p>
        </w:tc>
        <w:tc>
          <w:tcPr>
            <w:tcW w:w="641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w w:val="95"/>
                <w:szCs w:val="21"/>
                <w:lang w:eastAsia="zh-CN"/>
              </w:rPr>
              <w:t>监测时间：</w:t>
            </w:r>
            <w:r>
              <w:rPr>
                <w:rFonts w:hint="eastAsia" w:ascii="楷体_GB2312" w:eastAsia="楷体_GB2312"/>
                <w:bCs/>
                <w:w w:val="95"/>
                <w:szCs w:val="21"/>
                <w:lang w:val="en-US" w:eastAsia="zh-CN"/>
              </w:rPr>
              <w:t>2018年11月2日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59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所属区域：余姚</w:t>
            </w:r>
          </w:p>
        </w:tc>
        <w:tc>
          <w:tcPr>
            <w:tcW w:w="3880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b/>
                <w:bCs/>
                <w:w w:val="95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受纳水体：东海</w:t>
            </w:r>
          </w:p>
        </w:tc>
        <w:tc>
          <w:tcPr>
            <w:tcW w:w="6415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 xml:space="preserve">评价标准： 《纺织染整工业水污染物排放标准》（GB 4287-2012）表2直接排放限值；六价铬、苯胺类执行表1直接排放限值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序号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监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测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点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位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采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样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频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次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967740" cy="982980"/>
                      <wp:effectExtent l="3175" t="3175" r="7620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982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4pt;margin-top:0.4pt;height:77.4pt;width:76.2pt;z-index:251659264;mso-width-relative:page;mso-height-relative:page;" filled="f" stroked="t" coordsize="21600,21600" o:gfxdata="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F4mC1QAAAAcBAAAPAAAA&#10;AAAAAAEAIAAAACIAAABkcnMvZG93bnJldi54bWxQSwECFAAUAAAACACHTuJAgEPEwN8BAACaAwAA&#10;DgAAAAAAAAABACAAAAAk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bCs/>
                <w:szCs w:val="21"/>
              </w:rPr>
              <w:t xml:space="preserve">  项目名称</w:t>
            </w: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性状描述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pH</w:t>
            </w:r>
            <w:r>
              <w:rPr>
                <w:rFonts w:hint="eastAsia" w:eastAsia="楷体_GB2312"/>
                <w:bCs/>
                <w:szCs w:val="21"/>
              </w:rPr>
              <w:t>值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(无量纲)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悬浮物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色度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(倍)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化学需氧量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五日生化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需氧量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氨氮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硫化物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六价铬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总磷</w:t>
            </w:r>
          </w:p>
          <w:p>
            <w:pPr>
              <w:jc w:val="center"/>
              <w:rPr>
                <w:rFonts w:hint="eastAsia" w:eastAsia="楷体_GB2312"/>
                <w:spacing w:val="-20"/>
                <w:w w:val="90"/>
              </w:rPr>
            </w:pPr>
            <w:r>
              <w:rPr>
                <w:rFonts w:hint="eastAsia" w:eastAsia="楷体_GB2312"/>
                <w:spacing w:val="-20"/>
                <w:w w:val="90"/>
              </w:rPr>
              <w:t>（以P计）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总氮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  <w:spacing w:val="-20"/>
                <w:w w:val="90"/>
              </w:rPr>
              <w:t>（以N计）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二氧化氯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苯胺类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口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①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Cs w:val="21"/>
              </w:rPr>
              <w:t>黑色浑浊液体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7.38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9.56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37.8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②</w:t>
            </w: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Cs w:val="21"/>
              </w:rPr>
              <w:t>黑色浑浊液体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7.56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97.3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8.84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37.6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74.0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平均</w:t>
            </w: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w w:val="8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w w:val="80"/>
                <w:szCs w:val="21"/>
              </w:rPr>
              <w:t>-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25.6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9.20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37.6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71.5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口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jc w:val="center"/>
              <w:rPr>
                <w:rFonts w:hint="eastAsia" w:ascii="楷体_GB2312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Cs w:val="21"/>
              </w:rPr>
              <w:t>黄色微浑液体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6.43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17.7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0.349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14.8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bCs/>
                <w:color w:val="000000"/>
                <w:szCs w:val="21"/>
              </w:rPr>
              <w:t>黄色微浑液体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6.58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17.9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0.440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0.28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bCs/>
                <w:color w:val="000000"/>
                <w:szCs w:val="21"/>
              </w:rPr>
              <w:t>黄色微浑液体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6.51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16.4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0.319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0.28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13.8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bCs/>
                <w:color w:val="000000"/>
                <w:szCs w:val="21"/>
              </w:rPr>
              <w:t>黄色微浑液体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6.49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16.9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0.261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0.32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13.6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平均</w:t>
            </w: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w w:val="80"/>
                <w:szCs w:val="21"/>
              </w:rPr>
            </w:pPr>
            <w:r>
              <w:rPr>
                <w:rFonts w:hint="eastAsia" w:ascii="仿宋_GB2312" w:eastAsia="仿宋_GB2312"/>
                <w:b/>
                <w:w w:val="80"/>
                <w:szCs w:val="21"/>
              </w:rPr>
              <w:t>-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17.2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0.342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0.28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>
              <w:t>0.004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13.8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t>0.</w:t>
            </w:r>
            <w:r>
              <w:rPr>
                <w:rFonts w:hint="eastAsia"/>
              </w:rPr>
              <w:t>09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359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最高允许排放浓度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6-9</w:t>
            </w: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50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5</w:t>
            </w:r>
            <w:r>
              <w:rPr>
                <w:rFonts w:eastAsia="仿宋_GB2312"/>
                <w:spacing w:val="-20"/>
                <w:szCs w:val="21"/>
              </w:rPr>
              <w:t>0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80</w:t>
            </w:r>
          </w:p>
        </w:tc>
        <w:tc>
          <w:tcPr>
            <w:tcW w:w="80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15</w:t>
            </w: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0.5</w:t>
            </w: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0.5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0.5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25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0.5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35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出水水质评价结果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80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3892" w:type="dxa"/>
            <w:gridSpan w:val="16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结论：</w:t>
            </w:r>
            <w:r>
              <w:rPr>
                <w:rFonts w:hint="eastAsia" w:ascii="楷体_GB2312" w:eastAsia="楷体_GB2312"/>
                <w:szCs w:val="21"/>
              </w:rPr>
              <w:t>根据《纺织染整工业水污染物》（GB 4287-2012）表1、表2直接排放限值，本次监测时，该公司排放口废水中pH值4次、悬浮物、化学需氧量、五日生化需氧量、氨氮、色度、硫化物、总磷、总氮、二氧化氯、六价铬、苯胺类均符合标准。</w:t>
            </w:r>
          </w:p>
        </w:tc>
      </w:tr>
    </w:tbl>
    <w:p/>
    <w:p/>
    <w:tbl>
      <w:tblPr>
        <w:tblStyle w:val="5"/>
        <w:tblW w:w="15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69"/>
        <w:gridCol w:w="556"/>
        <w:gridCol w:w="1388"/>
        <w:gridCol w:w="638"/>
        <w:gridCol w:w="14"/>
        <w:gridCol w:w="560"/>
        <w:gridCol w:w="616"/>
        <w:gridCol w:w="14"/>
        <w:gridCol w:w="658"/>
        <w:gridCol w:w="14"/>
        <w:gridCol w:w="545"/>
        <w:gridCol w:w="518"/>
        <w:gridCol w:w="14"/>
        <w:gridCol w:w="588"/>
        <w:gridCol w:w="56"/>
        <w:gridCol w:w="616"/>
        <w:gridCol w:w="504"/>
        <w:gridCol w:w="14"/>
        <w:gridCol w:w="546"/>
        <w:gridCol w:w="14"/>
        <w:gridCol w:w="490"/>
        <w:gridCol w:w="84"/>
        <w:gridCol w:w="680"/>
        <w:gridCol w:w="720"/>
        <w:gridCol w:w="17"/>
        <w:gridCol w:w="888"/>
        <w:gridCol w:w="900"/>
        <w:gridCol w:w="900"/>
        <w:gridCol w:w="900"/>
        <w:gridCol w:w="37"/>
        <w:gridCol w:w="87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6" w:hRule="atLeast"/>
        </w:trPr>
        <w:tc>
          <w:tcPr>
            <w:tcW w:w="6411" w:type="dxa"/>
            <w:gridSpan w:val="14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val="en-US" w:eastAsia="zh-CN"/>
              </w:rPr>
              <w:t>企业名称：余姚市小曹娥城市污水处理有限公司</w:t>
            </w:r>
          </w:p>
        </w:tc>
        <w:tc>
          <w:tcPr>
            <w:tcW w:w="8827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w w:val="95"/>
                <w:szCs w:val="21"/>
                <w:lang w:eastAsia="zh-CN"/>
              </w:rPr>
              <w:t>监测时间：</w:t>
            </w:r>
            <w:r>
              <w:rPr>
                <w:rFonts w:hint="eastAsia" w:ascii="楷体_GB2312" w:eastAsia="楷体_GB2312"/>
                <w:bCs/>
                <w:w w:val="95"/>
                <w:szCs w:val="21"/>
                <w:lang w:val="en-US" w:eastAsia="zh-CN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05" w:hRule="atLeast"/>
        </w:trPr>
        <w:tc>
          <w:tcPr>
            <w:tcW w:w="282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所属区域：余姚</w:t>
            </w:r>
          </w:p>
        </w:tc>
        <w:tc>
          <w:tcPr>
            <w:tcW w:w="3591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受纳水体：东海</w:t>
            </w:r>
          </w:p>
        </w:tc>
        <w:tc>
          <w:tcPr>
            <w:tcW w:w="8827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val="en-US" w:eastAsia="zh-CN"/>
              </w:rPr>
              <w:t>评价标准：《城镇污水处理厂污染物排放标准》（GB 18918-2002）表1一级A标准和表2标准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40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序号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监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测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点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位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采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样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频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次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800100" cy="891540"/>
                      <wp:effectExtent l="3810" t="3175" r="13970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891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4pt;margin-top:0.4pt;height:70.2pt;width:63pt;z-index:251661312;mso-width-relative:page;mso-height-relative:page;" filled="f" stroked="t" coordsize="21600,21600" o:gfxdata="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ccIqTUAAAABwEAAA8AAAAA&#10;AAAAAQAgAAAAIgAAAGRycy9kb3ducmV2LnhtbFBLAQIUABQAAAAIAIdO4kCzA8u73wEAAJo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bCs/>
                <w:szCs w:val="21"/>
              </w:rPr>
              <w:t xml:space="preserve">  项目名称</w:t>
            </w: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性状描述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pH值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4"/>
                <w:w w:val="90"/>
                <w:sz w:val="18"/>
                <w:szCs w:val="18"/>
              </w:rPr>
              <w:t>(无量纲)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悬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浮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物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色度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(倍)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阴离子表面活性剂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化学需氧量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五日生化需氧量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氨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氮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总磷</w:t>
            </w:r>
          </w:p>
          <w:p>
            <w:pPr>
              <w:rPr>
                <w:rFonts w:hint="eastAsia" w:ascii="楷体_GB2312" w:eastAsia="楷体_GB2312"/>
                <w:bCs/>
                <w:spacing w:val="-18"/>
                <w:w w:val="90"/>
                <w:sz w:val="18"/>
                <w:szCs w:val="18"/>
              </w:rPr>
            </w:pPr>
            <w:r>
              <w:rPr>
                <w:rFonts w:hint="eastAsia" w:ascii="楷体_GB2312" w:eastAsia="楷体_GB2312"/>
                <w:bCs/>
                <w:spacing w:val="-18"/>
                <w:w w:val="90"/>
                <w:szCs w:val="21"/>
              </w:rPr>
              <w:t>（以P计）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氮</w:t>
            </w:r>
            <w:r>
              <w:rPr>
                <w:rFonts w:hint="eastAsia" w:ascii="楷体_GB2312" w:eastAsia="楷体_GB2312"/>
                <w:bCs/>
                <w:spacing w:val="-18"/>
                <w:w w:val="80"/>
                <w:szCs w:val="21"/>
              </w:rPr>
              <w:t>（以N计）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石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油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类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动植物油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六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价</w:t>
            </w:r>
          </w:p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铬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总铬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总汞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总镉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粪大肠菌群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(个</w:t>
            </w:r>
            <w:r>
              <w:rPr>
                <w:rFonts w:eastAsia="楷体_GB2312"/>
                <w:bCs/>
                <w:spacing w:val="-20"/>
                <w:szCs w:val="21"/>
              </w:rPr>
              <w:t>/L</w:t>
            </w: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04" w:hRule="atLeast"/>
        </w:trPr>
        <w:tc>
          <w:tcPr>
            <w:tcW w:w="40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口</w:t>
            </w:r>
          </w:p>
        </w:tc>
        <w:tc>
          <w:tcPr>
            <w:tcW w:w="556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0"/>
                <w:szCs w:val="21"/>
              </w:rPr>
              <w:t>灰色浑浊液体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7.22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1.03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270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106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26.6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9.90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33.5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0.94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3.04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54000000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" w:hRule="atLeast"/>
        </w:trPr>
        <w:tc>
          <w:tcPr>
            <w:tcW w:w="40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0"/>
                <w:szCs w:val="21"/>
              </w:rPr>
              <w:t>灰色浑浊液体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7.62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1.02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254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93.7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28.8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9.88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40.0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1.03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3.36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54000000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" w:hRule="atLeast"/>
        </w:trPr>
        <w:tc>
          <w:tcPr>
            <w:tcW w:w="40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平均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w w:val="8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20"/>
                <w:w w:val="80"/>
                <w:szCs w:val="21"/>
              </w:rPr>
              <w:t>-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-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1.02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262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99.9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27.7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9.89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36.8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0.98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3.20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54000000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4" w:hRule="atLeast"/>
        </w:trPr>
        <w:tc>
          <w:tcPr>
            <w:tcW w:w="40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口</w:t>
            </w:r>
          </w:p>
        </w:tc>
        <w:tc>
          <w:tcPr>
            <w:tcW w:w="556" w:type="dxa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ind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0"/>
                <w:szCs w:val="21"/>
              </w:rPr>
              <w:t>微黄透明液体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6.63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0.11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32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0.283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0.17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9.8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0.22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0.47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" w:hRule="atLeast"/>
        </w:trPr>
        <w:tc>
          <w:tcPr>
            <w:tcW w:w="40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②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0"/>
                <w:szCs w:val="21"/>
              </w:rPr>
              <w:t>微黄透明液体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6.58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0.12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28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6.2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0.330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0.17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9.2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0.16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0.74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" w:hRule="atLeast"/>
        </w:trPr>
        <w:tc>
          <w:tcPr>
            <w:tcW w:w="40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③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0"/>
                <w:szCs w:val="21"/>
              </w:rPr>
              <w:t>微黄透明液体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6.77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0.12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30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4.9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0.277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10.3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0.18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0.59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" w:hRule="atLeast"/>
        </w:trPr>
        <w:tc>
          <w:tcPr>
            <w:tcW w:w="40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④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" w:leftChars="-1" w:hanging="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pacing w:val="-10"/>
                <w:szCs w:val="21"/>
              </w:rPr>
              <w:t>微黄透明液体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6.81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0.12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29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5.9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0.331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10.4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0.16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0.66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" w:hRule="atLeast"/>
        </w:trPr>
        <w:tc>
          <w:tcPr>
            <w:tcW w:w="40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平均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w w:val="8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20"/>
                <w:w w:val="80"/>
                <w:szCs w:val="21"/>
              </w:rPr>
              <w:t>-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-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0.12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30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6.1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0.305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9.92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0.18</w:t>
            </w: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0.62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&lt;0.0000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0005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28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最高允许排放浓度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6</w:t>
            </w:r>
            <w:r>
              <w:rPr>
                <w:rFonts w:hint="eastAsia" w:eastAsia="仿宋_GB2312"/>
                <w:spacing w:val="-20"/>
                <w:szCs w:val="21"/>
              </w:rPr>
              <w:t>～</w:t>
            </w:r>
            <w:r>
              <w:rPr>
                <w:rFonts w:eastAsia="仿宋_GB2312"/>
                <w:spacing w:val="-20"/>
                <w:szCs w:val="21"/>
              </w:rPr>
              <w:t>9</w:t>
            </w:r>
          </w:p>
        </w:tc>
        <w:tc>
          <w:tcPr>
            <w:tcW w:w="5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10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30</w:t>
            </w: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0.5</w:t>
            </w:r>
          </w:p>
        </w:tc>
        <w:tc>
          <w:tcPr>
            <w:tcW w:w="5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50</w:t>
            </w:r>
          </w:p>
        </w:tc>
        <w:tc>
          <w:tcPr>
            <w:tcW w:w="51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10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0.5</w:t>
            </w:r>
          </w:p>
        </w:tc>
        <w:tc>
          <w:tcPr>
            <w:tcW w:w="518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15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1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spacing w:line="320" w:lineRule="exact"/>
              <w:ind w:right="-105" w:rightChars="-50" w:firstLine="85" w:firstLineChars="50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0.05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0.1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0.1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0.001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0.1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0.01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20" w:lineRule="exact"/>
              <w:ind w:right="-105" w:rightChars="-50" w:firstLine="170" w:firstLineChars="100"/>
              <w:rPr>
                <w:rFonts w:eastAsia="仿宋_GB2312"/>
                <w:szCs w:val="21"/>
                <w:vertAlign w:val="superscript"/>
              </w:rPr>
            </w:pPr>
            <w:r>
              <w:rPr>
                <w:rFonts w:eastAsia="仿宋_GB2312"/>
                <w:spacing w:val="-2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28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出水水质评价结果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4"/>
                <w:szCs w:val="21"/>
              </w:rPr>
            </w:pPr>
            <w:r>
              <w:rPr>
                <w:rFonts w:hint="eastAsia" w:ascii="楷体_GB2312" w:eastAsia="楷体_GB2312"/>
                <w:spacing w:val="-24"/>
                <w:szCs w:val="21"/>
              </w:rPr>
              <w:t>合格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51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15261" w:type="dxa"/>
            <w:gridSpan w:val="33"/>
            <w:vAlign w:val="center"/>
          </w:tcPr>
          <w:p>
            <w:pPr>
              <w:tabs>
                <w:tab w:val="left" w:pos="6601"/>
              </w:tabs>
              <w:spacing w:line="320" w:lineRule="exact"/>
              <w:jc w:val="both"/>
              <w:rPr>
                <w:rFonts w:hint="eastAsia" w:ascii="楷体_GB2312" w:eastAsia="楷体_GB2312"/>
                <w:spacing w:val="-2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pacing w:val="-20"/>
                <w:szCs w:val="21"/>
                <w:lang w:eastAsia="zh-CN"/>
              </w:rPr>
              <w:t>结论：根据《城镇污水处理厂污染物排放标准》（GB 18918-2002）表1一级A标准和表2标准，本次监测时，该公司排放口废水pH值4次、悬浮物、色度、阴离子表面活性剂、化学需氧量、生化需氧量、氨氮、总氮、总磷、石油类、动植物油、六价铬、总铬、总砷、总汞、总铅、总镉、粪大肠菌群日均值均符合标准。</w:t>
            </w:r>
          </w:p>
        </w:tc>
      </w:tr>
    </w:tbl>
    <w:tbl>
      <w:tblPr>
        <w:tblStyle w:val="5"/>
        <w:tblpPr w:leftFromText="180" w:rightFromText="180" w:vertAnchor="text" w:horzAnchor="page" w:tblpX="522" w:tblpY="267"/>
        <w:tblOverlap w:val="never"/>
        <w:tblW w:w="15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3307"/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1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val="en-US" w:eastAsia="zh-CN"/>
              </w:rPr>
              <w:t>企业名称：余姚市小曹娥镇众安废水处理服务站</w:t>
            </w:r>
          </w:p>
        </w:tc>
        <w:tc>
          <w:tcPr>
            <w:tcW w:w="9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w w:val="95"/>
                <w:szCs w:val="21"/>
                <w:lang w:eastAsia="zh-CN"/>
              </w:rPr>
              <w:t>监测时间：</w:t>
            </w:r>
            <w:r>
              <w:rPr>
                <w:rFonts w:hint="eastAsia" w:ascii="楷体_GB2312" w:eastAsia="楷体_GB2312"/>
                <w:bCs/>
                <w:w w:val="95"/>
                <w:szCs w:val="21"/>
                <w:lang w:val="en-US" w:eastAsia="zh-CN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05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所属区域：余姚</w:t>
            </w:r>
          </w:p>
        </w:tc>
        <w:tc>
          <w:tcPr>
            <w:tcW w:w="3307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受纳水体：东海</w:t>
            </w:r>
          </w:p>
        </w:tc>
        <w:tc>
          <w:tcPr>
            <w:tcW w:w="92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楷体_GB2312"/>
                <w:snapToGrid w:val="0"/>
                <w:kern w:val="0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评价标准：《电镀污染物排放标准》（GB 21900-2008）表2标准；《污水综合排放标准》 （GB8978-1996）表4三级标准；《工业企业废水氮、磷污染物间接排放限值》 （DB33/887-2013）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 xml:space="preserve"> </w:t>
            </w:r>
          </w:p>
        </w:tc>
      </w:tr>
    </w:tbl>
    <w:tbl>
      <w:tblPr>
        <w:tblStyle w:val="5"/>
        <w:tblW w:w="15727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492"/>
        <w:gridCol w:w="118"/>
        <w:gridCol w:w="614"/>
        <w:gridCol w:w="1480"/>
        <w:gridCol w:w="32"/>
        <w:gridCol w:w="599"/>
        <w:gridCol w:w="27"/>
        <w:gridCol w:w="780"/>
        <w:gridCol w:w="16"/>
        <w:gridCol w:w="675"/>
        <w:gridCol w:w="11"/>
        <w:gridCol w:w="623"/>
        <w:gridCol w:w="63"/>
        <w:gridCol w:w="501"/>
        <w:gridCol w:w="254"/>
        <w:gridCol w:w="520"/>
        <w:gridCol w:w="210"/>
        <w:gridCol w:w="434"/>
        <w:gridCol w:w="274"/>
        <w:gridCol w:w="510"/>
        <w:gridCol w:w="82"/>
        <w:gridCol w:w="560"/>
        <w:gridCol w:w="98"/>
        <w:gridCol w:w="576"/>
        <w:gridCol w:w="163"/>
        <w:gridCol w:w="523"/>
        <w:gridCol w:w="194"/>
        <w:gridCol w:w="912"/>
        <w:gridCol w:w="208"/>
        <w:gridCol w:w="491"/>
        <w:gridCol w:w="306"/>
        <w:gridCol w:w="324"/>
        <w:gridCol w:w="207"/>
        <w:gridCol w:w="437"/>
        <w:gridCol w:w="248"/>
        <w:gridCol w:w="408"/>
        <w:gridCol w:w="234"/>
        <w:gridCol w:w="351"/>
        <w:gridCol w:w="234"/>
        <w:gridCol w:w="493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950" w:hRule="atLeast"/>
        </w:trPr>
        <w:tc>
          <w:tcPr>
            <w:tcW w:w="367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  <w:p>
            <w:pPr>
              <w:jc w:val="both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序号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="楷体_GB2312"/>
                <w:spacing w:val="-20"/>
                <w:szCs w:val="21"/>
              </w:rPr>
            </w:pPr>
            <w:r>
              <w:rPr>
                <w:rFonts w:hint="eastAsia" w:eastAsia="楷体_GB2312"/>
              </w:rPr>
              <w:t>监测地点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  <w:p>
            <w:pPr>
              <w:jc w:val="both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采样频次</w:t>
            </w:r>
          </w:p>
        </w:tc>
        <w:tc>
          <w:tcPr>
            <w:tcW w:w="151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项目名称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性状描述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pH值</w:t>
            </w:r>
          </w:p>
          <w:p>
            <w:pPr>
              <w:jc w:val="center"/>
              <w:rPr>
                <w:rFonts w:hint="eastAsia" w:eastAsia="楷体_GB2312"/>
                <w:spacing w:val="-20"/>
                <w:sz w:val="18"/>
                <w:szCs w:val="18"/>
              </w:rPr>
            </w:pPr>
            <w:r>
              <w:rPr>
                <w:rFonts w:hint="eastAsia" w:eastAsia="楷体_GB2312"/>
                <w:spacing w:val="-20"/>
                <w:sz w:val="18"/>
                <w:szCs w:val="18"/>
              </w:rPr>
              <w:t>（无量纲）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六价铬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ind w:left="105" w:hanging="105" w:hangingChars="5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总铜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总锌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总铬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总氰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化物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化学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需氧量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氨氮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总镉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总铅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总汞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总铁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总氮</w:t>
            </w:r>
          </w:p>
          <w:p>
            <w:pPr>
              <w:jc w:val="center"/>
              <w:rPr>
                <w:rFonts w:eastAsia="楷体_GB2312"/>
                <w:spacing w:val="-20"/>
                <w:w w:val="90"/>
              </w:rPr>
            </w:pPr>
            <w:r>
              <w:rPr>
                <w:rFonts w:hint="eastAsia" w:eastAsia="楷体_GB2312"/>
                <w:spacing w:val="-20"/>
                <w:w w:val="90"/>
              </w:rPr>
              <w:t>（以N计）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总磷</w:t>
            </w:r>
            <w:r>
              <w:rPr>
                <w:rFonts w:hint="eastAsia" w:eastAsia="楷体_GB2312"/>
                <w:spacing w:val="-20"/>
                <w:w w:val="90"/>
              </w:rPr>
              <w:t>（以P计）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石油类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氟化物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进口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eastAsia="楷体_GB2312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楷体_GB2312"/>
              </w:rPr>
              <w:t>黄色浑浊液体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2.11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156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138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246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155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189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35.6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619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56.3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5.44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288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128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64.9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25.4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52.6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eastAsia="楷体_GB2312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楷体_GB2312"/>
              </w:rPr>
              <w:t>黄色浑浊液体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2.23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160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122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229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142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181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32.3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597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54.7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5.21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260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64.5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22.8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51.8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平均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-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-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158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130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238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148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185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34.0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608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55.5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5.32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274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131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64.7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24.1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52.2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标排口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 w:eastAsia="楷体_GB2312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7.87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0.14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&lt;0.02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0.09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0.022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233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4.30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&lt;0.03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20.1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2.79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0.62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8.10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②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8.01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0.10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&lt;0.02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0.06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0.026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250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5.58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&lt;0.03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21.0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2.79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8.06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③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7.74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0.10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&lt;0.02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0.09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0.024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238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5.85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&lt;0.03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20.0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2.80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7.88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④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7.96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0.11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&lt;0.02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0.09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0.020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220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6.50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&lt;0.03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19.3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2.80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0.39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7.76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377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平均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ascii="宋体" w:hAnsi="宋体" w:cs="宋体"/>
              </w:rPr>
              <w:t>–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7.90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0.11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&lt;0.02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0.08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&lt;0.004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0.023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235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5.56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&lt;0.03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20.1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2.80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0.58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7.95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377" w:hRule="atLeast"/>
        </w:trPr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电镀污染物排放标准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6-9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0.2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0.5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1.5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0.5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1.0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0.3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377" w:hRule="atLeast"/>
        </w:trPr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污水综合排放标准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500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429" w:hRule="atLeast"/>
        </w:trPr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工业企业废水氮、磷污染物间接排放限值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-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35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1006" w:hRule="atLeast"/>
        </w:trPr>
        <w:tc>
          <w:tcPr>
            <w:tcW w:w="15649" w:type="dxa"/>
            <w:gridSpan w:val="41"/>
            <w:vAlign w:val="center"/>
          </w:tcPr>
          <w:p>
            <w:pPr>
              <w:jc w:val="left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szCs w:val="22"/>
              </w:rPr>
              <w:t>结论</w:t>
            </w:r>
            <w:r>
              <w:rPr>
                <w:rFonts w:hint="eastAsia" w:eastAsia="楷体_GB2312"/>
                <w:szCs w:val="22"/>
                <w:lang w:eastAsia="zh-CN"/>
              </w:rPr>
              <w:t>：</w:t>
            </w:r>
            <w:r>
              <w:rPr>
                <w:rFonts w:hint="eastAsia" w:eastAsia="楷体_GB2312"/>
                <w:szCs w:val="22"/>
              </w:rPr>
              <w:t>根据《电镀污染物排放标准》（GB 21900-2008 ）表2标准，本次监测时，该公司标排口废水中的pH值4次、六价铬、总铬、总铜、总锌、总镍、总氰化物、总镉、总铅、总汞、总铁、氟化物均符合标准；根据《污水综合排放标准》表4三级标准，本次监测时，该公司标排口废水中的化学需氧量、石油类、悬浮物均符合标准；根据《工业企业废水氮、磷污染物间接排放限值》（DB33/887-2013），本次监测时，该公司标排口废水中氨氮、总磷均符合标准；总氮无相应标准，不作评价</w:t>
            </w:r>
            <w:r>
              <w:rPr>
                <w:rFonts w:hint="eastAsia" w:eastAsia="楷体_GB231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90" w:type="dxa"/>
            <w:gridSpan w:val="2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  <w:r>
              <w:rPr>
                <w:rFonts w:hint="eastAsia" w:eastAsia="楷体_GB2312"/>
                <w:lang w:eastAsia="zh-CN"/>
              </w:rPr>
              <w:t>企业名称：</w:t>
            </w:r>
            <w:r>
              <w:rPr>
                <w:rFonts w:hint="eastAsia" w:eastAsia="楷体_GB2312"/>
              </w:rPr>
              <w:t xml:space="preserve">余姚市黄家埠污水处理有限公司五联分公司 </w:t>
            </w:r>
          </w:p>
        </w:tc>
        <w:tc>
          <w:tcPr>
            <w:tcW w:w="7637" w:type="dxa"/>
            <w:gridSpan w:val="22"/>
            <w:vAlign w:val="center"/>
          </w:tcPr>
          <w:p>
            <w:pPr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监测时间：2018年11月2日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71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楷体_GB2312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所属区域：余姚</w:t>
            </w:r>
          </w:p>
        </w:tc>
        <w:tc>
          <w:tcPr>
            <w:tcW w:w="5019" w:type="dxa"/>
            <w:gridSpan w:val="1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楷体_GB2312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受纳水体：东海</w:t>
            </w:r>
          </w:p>
        </w:tc>
        <w:tc>
          <w:tcPr>
            <w:tcW w:w="7637" w:type="dxa"/>
            <w:gridSpan w:val="2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评价标准</w:t>
            </w:r>
            <w:r>
              <w:rPr>
                <w:rFonts w:hint="eastAsia" w:eastAsia="楷体_GB2312"/>
                <w:lang w:eastAsia="zh-CN"/>
              </w:rPr>
              <w:t>：</w:t>
            </w:r>
            <w:r>
              <w:rPr>
                <w:rFonts w:hint="eastAsia" w:eastAsia="楷体_GB2312"/>
              </w:rPr>
              <w:t>《电镀污染物排放标准》（GB 21900-2008）表2标准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7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序号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pacing w:val="-20"/>
                <w:szCs w:val="21"/>
              </w:rPr>
            </w:pPr>
            <w:r>
              <w:rPr>
                <w:rFonts w:hint="eastAsia" w:eastAsia="楷体_GB2312"/>
              </w:rPr>
              <w:t>监测地点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采样频次</w:t>
            </w:r>
          </w:p>
        </w:tc>
        <w:tc>
          <w:tcPr>
            <w:tcW w:w="1480" w:type="dxa"/>
            <w:tcBorders>
              <w:tl2br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项目名称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性状描述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pH值</w:t>
            </w:r>
          </w:p>
          <w:p>
            <w:pPr>
              <w:jc w:val="center"/>
              <w:rPr>
                <w:rFonts w:hint="eastAsia" w:eastAsia="楷体_GB2312"/>
                <w:spacing w:val="-20"/>
                <w:sz w:val="18"/>
                <w:szCs w:val="18"/>
              </w:rPr>
            </w:pPr>
            <w:r>
              <w:rPr>
                <w:rFonts w:hint="eastAsia" w:eastAsia="楷体_GB2312"/>
                <w:spacing w:val="-20"/>
                <w:sz w:val="18"/>
                <w:szCs w:val="18"/>
              </w:rPr>
              <w:t>（无量纲）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六价铬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总铜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总锌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总镍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总铬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总氰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化物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化学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需氧量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氨氮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总镉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总铅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总汞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总铁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总氮</w:t>
            </w:r>
          </w:p>
          <w:p>
            <w:pPr>
              <w:jc w:val="center"/>
              <w:rPr>
                <w:rFonts w:eastAsia="楷体_GB2312"/>
                <w:spacing w:val="-20"/>
                <w:w w:val="80"/>
              </w:rPr>
            </w:pPr>
            <w:r>
              <w:rPr>
                <w:rFonts w:hint="eastAsia" w:eastAsia="楷体_GB2312"/>
                <w:spacing w:val="-20"/>
                <w:w w:val="80"/>
              </w:rPr>
              <w:t>（以N计）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总磷</w:t>
            </w:r>
            <w:r>
              <w:rPr>
                <w:rFonts w:hint="eastAsia" w:eastAsia="楷体_GB2312"/>
                <w:spacing w:val="-20"/>
                <w:w w:val="90"/>
              </w:rPr>
              <w:t>（以P计）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石油类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氟化物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</w:t>
            </w:r>
          </w:p>
        </w:tc>
        <w:tc>
          <w:tcPr>
            <w:tcW w:w="6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进口</w:t>
            </w:r>
          </w:p>
        </w:tc>
        <w:tc>
          <w:tcPr>
            <w:tcW w:w="614" w:type="dxa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eastAsia="楷体_GB2312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楷体_GB2312"/>
              </w:rPr>
              <w:t>黄色浑浊液体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2.23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176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121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199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73.6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194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25.4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460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45.6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4.88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75.2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105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51.5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21.2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64.2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4" w:type="dxa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eastAsia="楷体_GB2312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黄色浑浊液体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2.03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170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108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185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68.7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198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26.4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519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48.6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4.59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69.6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111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51.0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23.4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60.8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hint="eastAsia" w:eastAsia="楷体_GB2312"/>
                <w:spacing w:val="-6"/>
              </w:rPr>
            </w:pPr>
            <w:r>
              <w:rPr>
                <w:rFonts w:hint="eastAsia" w:eastAsia="楷体_GB2312"/>
                <w:spacing w:val="-6"/>
              </w:rPr>
              <w:t>平均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-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173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114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192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71.2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196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25.9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490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47.1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4.74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72.4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108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51.2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22.3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62.5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</w:t>
            </w:r>
          </w:p>
        </w:tc>
        <w:tc>
          <w:tcPr>
            <w:tcW w:w="6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标排口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①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7.63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0.019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75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7.29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8.80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0.70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0.68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6.68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7.73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0.015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70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6.79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10.0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0.60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6.26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7.83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0.07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0.015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74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6.95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10.2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0.72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7.12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④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 w:eastAsia="楷体_GB2312"/>
              </w:rPr>
              <w:t>无色透明液体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7.75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0.019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77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6.61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8.70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0.30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0.53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7.04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6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eastAsia="楷体_GB2312"/>
                <w:spacing w:val="-6"/>
              </w:rPr>
              <w:t>平均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ascii="宋体" w:hAnsi="宋体" w:cs="宋体"/>
              </w:rPr>
              <w:t>–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0.06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04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0.017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74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6.91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0.01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0.2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&lt;4.0</w:t>
            </w: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  <w:vertAlign w:val="superscript"/>
              </w:rPr>
              <w:t>--5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＜</w:t>
            </w:r>
            <w:r>
              <w:rPr>
                <w:rFonts w:eastAsia="仿宋_GB2312"/>
                <w:snapToGrid w:val="0"/>
                <w:spacing w:val="-20"/>
                <w:kern w:val="0"/>
                <w:szCs w:val="21"/>
              </w:rPr>
              <w:t>0.0</w:t>
            </w: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3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9.42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0.40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0.63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6.78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电镀污染物排放标准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6-9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0.2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0.5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1.5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0.5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1.0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0.3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80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15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spacing w:val="-20"/>
                <w:kern w:val="0"/>
                <w:szCs w:val="21"/>
              </w:rPr>
              <w:t>20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727" w:type="dxa"/>
            <w:gridSpan w:val="4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楷体_GB2312"/>
                <w:szCs w:val="22"/>
              </w:rPr>
              <w:t>结论：根据《电镀污染物排放标准》（GB 21900-2008） 表2标准，本次监测时，该公司标排口废水中的pH值4次、六价铬、总铬、总铜、总锌、总镍、总氰化物、化学需氧量、氨氮、总镉、总铅、总汞、总铁、总氮、总磷、石油类、氟化物、悬浮物均符合标准。</w:t>
            </w:r>
          </w:p>
        </w:tc>
      </w:tr>
    </w:tbl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F8C"/>
    <w:multiLevelType w:val="multilevel"/>
    <w:tmpl w:val="02CA1F8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8F0661"/>
    <w:multiLevelType w:val="multilevel"/>
    <w:tmpl w:val="318F066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002BE"/>
    <w:multiLevelType w:val="multilevel"/>
    <w:tmpl w:val="3ED002B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E4352F"/>
    <w:multiLevelType w:val="multilevel"/>
    <w:tmpl w:val="5AE4352F"/>
    <w:lvl w:ilvl="0" w:tentative="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35" w:hanging="420"/>
      </w:pPr>
    </w:lvl>
    <w:lvl w:ilvl="2" w:tentative="0">
      <w:start w:val="1"/>
      <w:numFmt w:val="lowerRoman"/>
      <w:lvlText w:val="%3."/>
      <w:lvlJc w:val="right"/>
      <w:pPr>
        <w:ind w:left="1155" w:hanging="420"/>
      </w:pPr>
    </w:lvl>
    <w:lvl w:ilvl="3" w:tentative="0">
      <w:start w:val="1"/>
      <w:numFmt w:val="decimal"/>
      <w:lvlText w:val="%4."/>
      <w:lvlJc w:val="left"/>
      <w:pPr>
        <w:ind w:left="1575" w:hanging="420"/>
      </w:pPr>
    </w:lvl>
    <w:lvl w:ilvl="4" w:tentative="0">
      <w:start w:val="1"/>
      <w:numFmt w:val="lowerLetter"/>
      <w:lvlText w:val="%5)"/>
      <w:lvlJc w:val="left"/>
      <w:pPr>
        <w:ind w:left="1995" w:hanging="420"/>
      </w:pPr>
    </w:lvl>
    <w:lvl w:ilvl="5" w:tentative="0">
      <w:start w:val="1"/>
      <w:numFmt w:val="lowerRoman"/>
      <w:lvlText w:val="%6."/>
      <w:lvlJc w:val="right"/>
      <w:pPr>
        <w:ind w:left="2415" w:hanging="420"/>
      </w:pPr>
    </w:lvl>
    <w:lvl w:ilvl="6" w:tentative="0">
      <w:start w:val="1"/>
      <w:numFmt w:val="decimal"/>
      <w:lvlText w:val="%7."/>
      <w:lvlJc w:val="left"/>
      <w:pPr>
        <w:ind w:left="2835" w:hanging="420"/>
      </w:pPr>
    </w:lvl>
    <w:lvl w:ilvl="7" w:tentative="0">
      <w:start w:val="1"/>
      <w:numFmt w:val="lowerLetter"/>
      <w:lvlText w:val="%8)"/>
      <w:lvlJc w:val="left"/>
      <w:pPr>
        <w:ind w:left="3255" w:hanging="420"/>
      </w:pPr>
    </w:lvl>
    <w:lvl w:ilvl="8" w:tentative="0">
      <w:start w:val="1"/>
      <w:numFmt w:val="lowerRoman"/>
      <w:lvlText w:val="%9."/>
      <w:lvlJc w:val="right"/>
      <w:pPr>
        <w:ind w:left="3675" w:hanging="420"/>
      </w:pPr>
    </w:lvl>
  </w:abstractNum>
  <w:abstractNum w:abstractNumId="4">
    <w:nsid w:val="670E5F9F"/>
    <w:multiLevelType w:val="multilevel"/>
    <w:tmpl w:val="670E5F9F"/>
    <w:lvl w:ilvl="0" w:tentative="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35" w:hanging="420"/>
      </w:pPr>
    </w:lvl>
    <w:lvl w:ilvl="2" w:tentative="0">
      <w:start w:val="1"/>
      <w:numFmt w:val="lowerRoman"/>
      <w:lvlText w:val="%3."/>
      <w:lvlJc w:val="right"/>
      <w:pPr>
        <w:ind w:left="1155" w:hanging="420"/>
      </w:pPr>
    </w:lvl>
    <w:lvl w:ilvl="3" w:tentative="0">
      <w:start w:val="1"/>
      <w:numFmt w:val="decimal"/>
      <w:lvlText w:val="%4."/>
      <w:lvlJc w:val="left"/>
      <w:pPr>
        <w:ind w:left="1575" w:hanging="420"/>
      </w:pPr>
    </w:lvl>
    <w:lvl w:ilvl="4" w:tentative="0">
      <w:start w:val="1"/>
      <w:numFmt w:val="lowerLetter"/>
      <w:lvlText w:val="%5)"/>
      <w:lvlJc w:val="left"/>
      <w:pPr>
        <w:ind w:left="1995" w:hanging="420"/>
      </w:pPr>
    </w:lvl>
    <w:lvl w:ilvl="5" w:tentative="0">
      <w:start w:val="1"/>
      <w:numFmt w:val="lowerRoman"/>
      <w:lvlText w:val="%6."/>
      <w:lvlJc w:val="right"/>
      <w:pPr>
        <w:ind w:left="2415" w:hanging="420"/>
      </w:pPr>
    </w:lvl>
    <w:lvl w:ilvl="6" w:tentative="0">
      <w:start w:val="1"/>
      <w:numFmt w:val="decimal"/>
      <w:lvlText w:val="%7."/>
      <w:lvlJc w:val="left"/>
      <w:pPr>
        <w:ind w:left="2835" w:hanging="420"/>
      </w:pPr>
    </w:lvl>
    <w:lvl w:ilvl="7" w:tentative="0">
      <w:start w:val="1"/>
      <w:numFmt w:val="lowerLetter"/>
      <w:lvlText w:val="%8)"/>
      <w:lvlJc w:val="left"/>
      <w:pPr>
        <w:ind w:left="3255" w:hanging="420"/>
      </w:pPr>
    </w:lvl>
    <w:lvl w:ilvl="8" w:tentative="0">
      <w:start w:val="1"/>
      <w:numFmt w:val="lowerRoman"/>
      <w:lvlText w:val="%9."/>
      <w:lvlJc w:val="right"/>
      <w:pPr>
        <w:ind w:left="3675" w:hanging="420"/>
      </w:pPr>
    </w:lvl>
  </w:abstractNum>
  <w:abstractNum w:abstractNumId="5">
    <w:nsid w:val="7738622F"/>
    <w:multiLevelType w:val="multilevel"/>
    <w:tmpl w:val="7738622F"/>
    <w:lvl w:ilvl="0" w:tentative="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35" w:hanging="420"/>
      </w:pPr>
    </w:lvl>
    <w:lvl w:ilvl="2" w:tentative="0">
      <w:start w:val="1"/>
      <w:numFmt w:val="lowerRoman"/>
      <w:lvlText w:val="%3."/>
      <w:lvlJc w:val="right"/>
      <w:pPr>
        <w:ind w:left="1155" w:hanging="420"/>
      </w:pPr>
    </w:lvl>
    <w:lvl w:ilvl="3" w:tentative="0">
      <w:start w:val="1"/>
      <w:numFmt w:val="decimal"/>
      <w:lvlText w:val="%4."/>
      <w:lvlJc w:val="left"/>
      <w:pPr>
        <w:ind w:left="1575" w:hanging="420"/>
      </w:pPr>
    </w:lvl>
    <w:lvl w:ilvl="4" w:tentative="0">
      <w:start w:val="1"/>
      <w:numFmt w:val="lowerLetter"/>
      <w:lvlText w:val="%5)"/>
      <w:lvlJc w:val="left"/>
      <w:pPr>
        <w:ind w:left="1995" w:hanging="420"/>
      </w:pPr>
    </w:lvl>
    <w:lvl w:ilvl="5" w:tentative="0">
      <w:start w:val="1"/>
      <w:numFmt w:val="lowerRoman"/>
      <w:lvlText w:val="%6."/>
      <w:lvlJc w:val="right"/>
      <w:pPr>
        <w:ind w:left="2415" w:hanging="420"/>
      </w:pPr>
    </w:lvl>
    <w:lvl w:ilvl="6" w:tentative="0">
      <w:start w:val="1"/>
      <w:numFmt w:val="decimal"/>
      <w:lvlText w:val="%7."/>
      <w:lvlJc w:val="left"/>
      <w:pPr>
        <w:ind w:left="2835" w:hanging="420"/>
      </w:pPr>
    </w:lvl>
    <w:lvl w:ilvl="7" w:tentative="0">
      <w:start w:val="1"/>
      <w:numFmt w:val="lowerLetter"/>
      <w:lvlText w:val="%8)"/>
      <w:lvlJc w:val="left"/>
      <w:pPr>
        <w:ind w:left="3255" w:hanging="420"/>
      </w:pPr>
    </w:lvl>
    <w:lvl w:ilvl="8" w:tentative="0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D2014"/>
    <w:rsid w:val="04360965"/>
    <w:rsid w:val="0BF849FF"/>
    <w:rsid w:val="1106611A"/>
    <w:rsid w:val="15BA1DDF"/>
    <w:rsid w:val="2D505FC2"/>
    <w:rsid w:val="2E913BC6"/>
    <w:rsid w:val="33D6607C"/>
    <w:rsid w:val="3BC572C8"/>
    <w:rsid w:val="3C135626"/>
    <w:rsid w:val="417648B2"/>
    <w:rsid w:val="4C4A7162"/>
    <w:rsid w:val="4C8C48DD"/>
    <w:rsid w:val="4F227D64"/>
    <w:rsid w:val="545D2014"/>
    <w:rsid w:val="54634099"/>
    <w:rsid w:val="6CF037EF"/>
    <w:rsid w:val="76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2019-01-10T01:57:00Z</dcterms:created>
  <dc:creator>Administrator</dc:creator>
  <cp:lastModifiedBy>Administrator</cp:lastModifiedBy>
  <cp:lastPrinted>2019-01-14T01:58:52Z</cp:lastPrinted>
  <dcterms:modified xsi:type="dcterms:W3CDTF">2019-01-14T02:21:13Z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