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b w:val="0"/>
          <w:i w:val="0"/>
          <w:caps w:val="0"/>
          <w:color w:val="000000"/>
          <w:spacing w:val="0"/>
          <w:sz w:val="32"/>
          <w:szCs w:val="32"/>
        </w:rPr>
      </w:pPr>
      <w:r>
        <w:rPr>
          <w:rFonts w:hint="eastAsia" w:ascii="方正小标宋简体" w:hAnsi="方正小标宋简体" w:eastAsia="方正小标宋简体" w:cs="方正小标宋简体"/>
          <w:b w:val="0"/>
          <w:i w:val="0"/>
          <w:caps w:val="0"/>
          <w:color w:val="000000"/>
          <w:spacing w:val="0"/>
          <w:sz w:val="32"/>
          <w:szCs w:val="32"/>
        </w:rPr>
        <w:t>余姚市文化和广电旅游体育局</w:t>
      </w:r>
    </w:p>
    <w:p>
      <w:pPr>
        <w:pStyle w:val="2"/>
        <w:keepNext w:val="0"/>
        <w:keepLines w:val="0"/>
        <w:widowControl/>
        <w:suppressLineNumbers w:val="0"/>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b w:val="0"/>
          <w:i w:val="0"/>
          <w:caps w:val="0"/>
          <w:color w:val="000000"/>
          <w:spacing w:val="0"/>
          <w:sz w:val="32"/>
          <w:szCs w:val="32"/>
        </w:rPr>
      </w:pPr>
      <w:r>
        <w:rPr>
          <w:rFonts w:hint="eastAsia" w:ascii="方正小标宋简体" w:hAnsi="方正小标宋简体" w:eastAsia="方正小标宋简体" w:cs="方正小标宋简体"/>
          <w:b w:val="0"/>
          <w:i w:val="0"/>
          <w:caps w:val="0"/>
          <w:color w:val="000000"/>
          <w:spacing w:val="0"/>
          <w:sz w:val="32"/>
          <w:szCs w:val="32"/>
        </w:rPr>
        <w:t>20</w:t>
      </w:r>
      <w:r>
        <w:rPr>
          <w:rFonts w:hint="eastAsia" w:ascii="方正小标宋简体" w:hAnsi="方正小标宋简体" w:eastAsia="方正小标宋简体" w:cs="方正小标宋简体"/>
          <w:b w:val="0"/>
          <w:i w:val="0"/>
          <w:caps w:val="0"/>
          <w:color w:val="000000"/>
          <w:spacing w:val="0"/>
          <w:sz w:val="32"/>
          <w:szCs w:val="32"/>
          <w:lang w:val="en-US" w:eastAsia="zh-CN"/>
        </w:rPr>
        <w:t>20</w:t>
      </w:r>
      <w:r>
        <w:rPr>
          <w:rFonts w:hint="eastAsia" w:ascii="方正小标宋简体" w:hAnsi="方正小标宋简体" w:eastAsia="方正小标宋简体" w:cs="方正小标宋简体"/>
          <w:b w:val="0"/>
          <w:i w:val="0"/>
          <w:caps w:val="0"/>
          <w:color w:val="000000"/>
          <w:spacing w:val="0"/>
          <w:sz w:val="32"/>
          <w:szCs w:val="32"/>
        </w:rPr>
        <w:t>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firstLineChars="200"/>
        <w:jc w:val="left"/>
        <w:textAlignment w:val="auto"/>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lang w:val="en-US" w:eastAsia="zh-CN"/>
        </w:rPr>
        <w:t>2020</w:t>
      </w:r>
      <w:r>
        <w:rPr>
          <w:rFonts w:hint="eastAsia" w:ascii="华文中宋" w:hAnsi="华文中宋" w:eastAsia="华文中宋" w:cs="华文中宋"/>
          <w:b w:val="0"/>
          <w:i w:val="0"/>
          <w:caps w:val="0"/>
          <w:color w:val="000000"/>
          <w:spacing w:val="0"/>
          <w:sz w:val="24"/>
          <w:szCs w:val="24"/>
        </w:rPr>
        <w:t>年</w:t>
      </w:r>
      <w:r>
        <w:rPr>
          <w:rFonts w:hint="eastAsia" w:ascii="华文中宋" w:hAnsi="华文中宋" w:eastAsia="华文中宋" w:cs="华文中宋"/>
          <w:b w:val="0"/>
          <w:i w:val="0"/>
          <w:caps w:val="0"/>
          <w:color w:val="000000"/>
          <w:spacing w:val="0"/>
          <w:sz w:val="24"/>
          <w:szCs w:val="24"/>
          <w:lang w:eastAsia="zh-CN"/>
        </w:rPr>
        <w:t>度</w:t>
      </w:r>
      <w:r>
        <w:rPr>
          <w:rFonts w:hint="eastAsia" w:ascii="华文中宋" w:hAnsi="华文中宋" w:eastAsia="华文中宋" w:cs="华文中宋"/>
          <w:b w:val="0"/>
          <w:i w:val="0"/>
          <w:caps w:val="0"/>
          <w:color w:val="000000"/>
          <w:spacing w:val="0"/>
          <w:sz w:val="24"/>
          <w:szCs w:val="24"/>
        </w:rPr>
        <w:t>，</w:t>
      </w:r>
      <w:r>
        <w:rPr>
          <w:rFonts w:hint="eastAsia" w:ascii="华文中宋" w:hAnsi="华文中宋" w:eastAsia="华文中宋" w:cs="华文中宋"/>
          <w:b w:val="0"/>
          <w:i w:val="0"/>
          <w:caps w:val="0"/>
          <w:color w:val="000000"/>
          <w:spacing w:val="0"/>
          <w:sz w:val="24"/>
          <w:szCs w:val="24"/>
          <w:lang w:eastAsia="zh-CN"/>
        </w:rPr>
        <w:t>我局继续</w:t>
      </w:r>
      <w:r>
        <w:rPr>
          <w:rFonts w:hint="eastAsia" w:ascii="华文中宋" w:hAnsi="华文中宋" w:eastAsia="华文中宋" w:cs="华文中宋"/>
          <w:b w:val="0"/>
          <w:i w:val="0"/>
          <w:caps w:val="0"/>
          <w:color w:val="000000"/>
          <w:spacing w:val="0"/>
          <w:sz w:val="24"/>
          <w:szCs w:val="24"/>
        </w:rPr>
        <w:t>以政府信息公开工作领导小组为中心，</w:t>
      </w:r>
      <w:r>
        <w:rPr>
          <w:rFonts w:hint="eastAsia" w:ascii="华文中宋" w:hAnsi="华文中宋" w:eastAsia="华文中宋" w:cs="华文中宋"/>
          <w:b w:val="0"/>
          <w:i w:val="0"/>
          <w:caps w:val="0"/>
          <w:color w:val="000000"/>
          <w:spacing w:val="0"/>
          <w:sz w:val="24"/>
          <w:szCs w:val="24"/>
          <w:lang w:eastAsia="zh-CN"/>
        </w:rPr>
        <w:t>贯彻</w:t>
      </w:r>
      <w:r>
        <w:rPr>
          <w:rFonts w:hint="eastAsia" w:ascii="华文中宋" w:hAnsi="华文中宋" w:eastAsia="华文中宋" w:cs="华文中宋"/>
          <w:b w:val="0"/>
          <w:i w:val="0"/>
          <w:caps w:val="0"/>
          <w:color w:val="000000"/>
          <w:spacing w:val="0"/>
          <w:sz w:val="24"/>
          <w:szCs w:val="24"/>
        </w:rPr>
        <w:t>《中华人民共和国政府信息公开条例》</w:t>
      </w:r>
      <w:r>
        <w:rPr>
          <w:rFonts w:hint="eastAsia" w:ascii="华文中宋" w:hAnsi="华文中宋" w:eastAsia="华文中宋" w:cs="华文中宋"/>
          <w:b w:val="0"/>
          <w:i w:val="0"/>
          <w:caps w:val="0"/>
          <w:color w:val="000000"/>
          <w:spacing w:val="0"/>
          <w:sz w:val="24"/>
          <w:szCs w:val="24"/>
          <w:lang w:eastAsia="zh-CN"/>
        </w:rPr>
        <w:t>，</w:t>
      </w:r>
      <w:r>
        <w:rPr>
          <w:rFonts w:hint="eastAsia" w:ascii="华文中宋" w:hAnsi="华文中宋" w:eastAsia="华文中宋" w:cs="华文中宋"/>
          <w:b w:val="0"/>
          <w:i w:val="0"/>
          <w:caps w:val="0"/>
          <w:color w:val="000000"/>
          <w:spacing w:val="0"/>
          <w:sz w:val="24"/>
          <w:szCs w:val="24"/>
        </w:rPr>
        <w:t>提升</w:t>
      </w:r>
      <w:r>
        <w:rPr>
          <w:rFonts w:hint="eastAsia" w:ascii="华文中宋" w:hAnsi="华文中宋" w:eastAsia="华文中宋" w:cs="华文中宋"/>
          <w:b w:val="0"/>
          <w:i w:val="0"/>
          <w:caps w:val="0"/>
          <w:color w:val="000000"/>
          <w:spacing w:val="0"/>
          <w:sz w:val="24"/>
          <w:szCs w:val="24"/>
          <w:lang w:eastAsia="zh-CN"/>
        </w:rPr>
        <w:t>基层</w:t>
      </w:r>
      <w:r>
        <w:rPr>
          <w:rFonts w:hint="eastAsia" w:ascii="华文中宋" w:hAnsi="华文中宋" w:eastAsia="华文中宋" w:cs="华文中宋"/>
          <w:b w:val="0"/>
          <w:i w:val="0"/>
          <w:caps w:val="0"/>
          <w:color w:val="000000"/>
          <w:spacing w:val="0"/>
          <w:sz w:val="24"/>
          <w:szCs w:val="24"/>
        </w:rPr>
        <w:t>政务公开</w:t>
      </w:r>
      <w:r>
        <w:rPr>
          <w:rFonts w:hint="eastAsia" w:ascii="华文中宋" w:hAnsi="华文中宋" w:eastAsia="华文中宋" w:cs="华文中宋"/>
          <w:b w:val="0"/>
          <w:i w:val="0"/>
          <w:caps w:val="0"/>
          <w:color w:val="000000"/>
          <w:spacing w:val="0"/>
          <w:sz w:val="24"/>
          <w:szCs w:val="24"/>
          <w:lang w:eastAsia="zh-CN"/>
        </w:rPr>
        <w:t>的时效性</w:t>
      </w:r>
      <w:r>
        <w:rPr>
          <w:rFonts w:hint="eastAsia" w:ascii="华文中宋" w:hAnsi="华文中宋" w:eastAsia="华文中宋" w:cs="华文中宋"/>
          <w:b w:val="0"/>
          <w:i w:val="0"/>
          <w:caps w:val="0"/>
          <w:color w:val="000000"/>
          <w:spacing w:val="0"/>
          <w:sz w:val="24"/>
          <w:szCs w:val="24"/>
        </w:rPr>
        <w:t>，</w:t>
      </w:r>
      <w:r>
        <w:rPr>
          <w:rFonts w:hint="eastAsia" w:ascii="华文中宋" w:hAnsi="华文中宋" w:eastAsia="华文中宋" w:cs="华文中宋"/>
          <w:b w:val="0"/>
          <w:i w:val="0"/>
          <w:caps w:val="0"/>
          <w:color w:val="000000"/>
          <w:spacing w:val="0"/>
          <w:sz w:val="24"/>
          <w:szCs w:val="24"/>
          <w:lang w:eastAsia="zh-CN"/>
        </w:rPr>
        <w:t>丰富公开内容，</w:t>
      </w:r>
      <w:r>
        <w:rPr>
          <w:rFonts w:hint="eastAsia" w:ascii="华文中宋" w:hAnsi="华文中宋" w:eastAsia="华文中宋" w:cs="华文中宋"/>
          <w:b w:val="0"/>
          <w:i w:val="0"/>
          <w:caps w:val="0"/>
          <w:color w:val="000000"/>
          <w:spacing w:val="0"/>
          <w:sz w:val="24"/>
          <w:szCs w:val="24"/>
        </w:rPr>
        <w:t>深化重点领域信息公开，增加政策解读，为群众建设更贴合实际</w:t>
      </w:r>
      <w:r>
        <w:rPr>
          <w:rFonts w:hint="eastAsia" w:ascii="华文中宋" w:hAnsi="华文中宋" w:eastAsia="华文中宋" w:cs="华文中宋"/>
          <w:b w:val="0"/>
          <w:i w:val="0"/>
          <w:caps w:val="0"/>
          <w:color w:val="000000"/>
          <w:spacing w:val="0"/>
          <w:sz w:val="24"/>
          <w:szCs w:val="24"/>
          <w:lang w:eastAsia="zh-CN"/>
        </w:rPr>
        <w:t>和时事</w:t>
      </w:r>
      <w:r>
        <w:rPr>
          <w:rFonts w:hint="eastAsia" w:ascii="华文中宋" w:hAnsi="华文中宋" w:eastAsia="华文中宋" w:cs="华文中宋"/>
          <w:b w:val="0"/>
          <w:i w:val="0"/>
          <w:caps w:val="0"/>
          <w:color w:val="000000"/>
          <w:spacing w:val="0"/>
          <w:sz w:val="24"/>
          <w:szCs w:val="24"/>
        </w:rPr>
        <w:t>的公开渠道和公开服务。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firstLineChars="200"/>
        <w:jc w:val="left"/>
        <w:textAlignment w:val="auto"/>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firstLineChars="200"/>
        <w:jc w:val="left"/>
        <w:textAlignment w:val="auto"/>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lang w:val="en-US" w:eastAsia="zh-CN"/>
        </w:rPr>
        <w:t>2020</w:t>
      </w:r>
      <w:r>
        <w:rPr>
          <w:rFonts w:hint="eastAsia" w:ascii="华文中宋" w:hAnsi="华文中宋" w:eastAsia="华文中宋" w:cs="华文中宋"/>
          <w:b w:val="0"/>
          <w:i w:val="0"/>
          <w:caps w:val="0"/>
          <w:color w:val="000000"/>
          <w:spacing w:val="0"/>
          <w:sz w:val="24"/>
          <w:szCs w:val="24"/>
        </w:rPr>
        <w:t>年度我局</w:t>
      </w:r>
      <w:r>
        <w:rPr>
          <w:rFonts w:hint="eastAsia" w:ascii="华文中宋" w:hAnsi="华文中宋" w:eastAsia="华文中宋" w:cs="华文中宋"/>
          <w:b w:val="0"/>
          <w:i w:val="0"/>
          <w:caps w:val="0"/>
          <w:color w:val="000000"/>
          <w:spacing w:val="0"/>
          <w:sz w:val="24"/>
          <w:szCs w:val="24"/>
          <w:lang w:eastAsia="zh-CN"/>
        </w:rPr>
        <w:t>共</w:t>
      </w:r>
      <w:r>
        <w:rPr>
          <w:rFonts w:hint="eastAsia" w:ascii="华文中宋" w:hAnsi="华文中宋" w:eastAsia="华文中宋" w:cs="华文中宋"/>
          <w:b w:val="0"/>
          <w:i w:val="0"/>
          <w:caps w:val="0"/>
          <w:color w:val="000000"/>
          <w:spacing w:val="0"/>
          <w:sz w:val="24"/>
          <w:szCs w:val="24"/>
        </w:rPr>
        <w:t>发布政府工作信息5</w:t>
      </w:r>
      <w:r>
        <w:rPr>
          <w:rFonts w:hint="eastAsia" w:ascii="华文中宋" w:hAnsi="华文中宋" w:eastAsia="华文中宋" w:cs="华文中宋"/>
          <w:b w:val="0"/>
          <w:i w:val="0"/>
          <w:caps w:val="0"/>
          <w:color w:val="000000"/>
          <w:spacing w:val="0"/>
          <w:sz w:val="24"/>
          <w:szCs w:val="24"/>
          <w:lang w:val="en-US" w:eastAsia="zh-CN"/>
        </w:rPr>
        <w:t>60</w:t>
      </w:r>
      <w:r>
        <w:rPr>
          <w:rFonts w:hint="eastAsia" w:ascii="华文中宋" w:hAnsi="华文中宋" w:eastAsia="华文中宋" w:cs="华文中宋"/>
          <w:b w:val="0"/>
          <w:i w:val="0"/>
          <w:caps w:val="0"/>
          <w:color w:val="000000"/>
          <w:spacing w:val="0"/>
          <w:sz w:val="24"/>
          <w:szCs w:val="24"/>
        </w:rPr>
        <w:t>条，其中通过政府网站公开政府信息</w:t>
      </w:r>
      <w:r>
        <w:rPr>
          <w:rFonts w:hint="eastAsia" w:ascii="华文中宋" w:hAnsi="华文中宋" w:eastAsia="华文中宋" w:cs="华文中宋"/>
          <w:b w:val="0"/>
          <w:i w:val="0"/>
          <w:caps w:val="0"/>
          <w:color w:val="000000"/>
          <w:spacing w:val="0"/>
          <w:sz w:val="24"/>
          <w:szCs w:val="24"/>
          <w:lang w:val="en-US" w:eastAsia="zh-CN"/>
        </w:rPr>
        <w:t>218</w:t>
      </w:r>
      <w:r>
        <w:rPr>
          <w:rFonts w:hint="eastAsia" w:ascii="华文中宋" w:hAnsi="华文中宋" w:eastAsia="华文中宋" w:cs="华文中宋"/>
          <w:b w:val="0"/>
          <w:i w:val="0"/>
          <w:caps w:val="0"/>
          <w:color w:val="000000"/>
          <w:spacing w:val="0"/>
          <w:sz w:val="24"/>
          <w:szCs w:val="24"/>
        </w:rPr>
        <w:t>条</w:t>
      </w:r>
      <w:r>
        <w:rPr>
          <w:rFonts w:hint="eastAsia" w:ascii="华文中宋" w:hAnsi="华文中宋" w:eastAsia="华文中宋" w:cs="华文中宋"/>
          <w:b w:val="0"/>
          <w:i w:val="0"/>
          <w:caps w:val="0"/>
          <w:color w:val="000000"/>
          <w:spacing w:val="0"/>
          <w:sz w:val="24"/>
          <w:szCs w:val="24"/>
          <w:lang w:eastAsia="zh-CN"/>
        </w:rPr>
        <w:t>，通过政务微信公开政府信息数</w:t>
      </w:r>
      <w:r>
        <w:rPr>
          <w:rFonts w:hint="eastAsia" w:ascii="华文中宋" w:hAnsi="华文中宋" w:eastAsia="华文中宋" w:cs="华文中宋"/>
          <w:b w:val="0"/>
          <w:i w:val="0"/>
          <w:caps w:val="0"/>
          <w:color w:val="000000"/>
          <w:spacing w:val="0"/>
          <w:sz w:val="24"/>
          <w:szCs w:val="24"/>
          <w:lang w:val="en-US" w:eastAsia="zh-CN"/>
        </w:rPr>
        <w:t>238</w:t>
      </w:r>
      <w:r>
        <w:rPr>
          <w:rFonts w:hint="eastAsia" w:ascii="华文中宋" w:hAnsi="华文中宋" w:eastAsia="华文中宋" w:cs="华文中宋"/>
          <w:b w:val="0"/>
          <w:i w:val="0"/>
          <w:caps w:val="0"/>
          <w:color w:val="000000"/>
          <w:spacing w:val="0"/>
          <w:sz w:val="24"/>
          <w:szCs w:val="24"/>
        </w:rPr>
        <w:t>条，政务微博公开政府信息数</w:t>
      </w:r>
      <w:r>
        <w:rPr>
          <w:rFonts w:hint="eastAsia" w:ascii="华文中宋" w:hAnsi="华文中宋" w:eastAsia="华文中宋" w:cs="华文中宋"/>
          <w:b w:val="0"/>
          <w:i w:val="0"/>
          <w:caps w:val="0"/>
          <w:color w:val="000000"/>
          <w:spacing w:val="0"/>
          <w:sz w:val="24"/>
          <w:szCs w:val="24"/>
          <w:lang w:val="en-US" w:eastAsia="zh-CN"/>
        </w:rPr>
        <w:t>106</w:t>
      </w:r>
      <w:r>
        <w:rPr>
          <w:rFonts w:hint="eastAsia" w:ascii="华文中宋" w:hAnsi="华文中宋" w:eastAsia="华文中宋" w:cs="华文中宋"/>
          <w:b w:val="0"/>
          <w:i w:val="0"/>
          <w:caps w:val="0"/>
          <w:color w:val="000000"/>
          <w:spacing w:val="0"/>
          <w:sz w:val="24"/>
          <w:szCs w:val="24"/>
        </w:rPr>
        <w:t>条。</w:t>
      </w:r>
      <w:r>
        <w:rPr>
          <w:rFonts w:hint="eastAsia" w:ascii="华文中宋" w:hAnsi="华文中宋" w:eastAsia="华文中宋" w:cs="华文中宋"/>
          <w:b w:val="0"/>
          <w:i w:val="0"/>
          <w:caps w:val="0"/>
          <w:color w:val="000000"/>
          <w:spacing w:val="0"/>
          <w:sz w:val="24"/>
          <w:szCs w:val="24"/>
          <w:lang w:eastAsia="zh-CN"/>
        </w:rPr>
        <w:t>通过</w:t>
      </w:r>
      <w:r>
        <w:rPr>
          <w:rFonts w:hint="eastAsia" w:ascii="华文中宋" w:hAnsi="华文中宋" w:eastAsia="华文中宋" w:cs="华文中宋"/>
          <w:b w:val="0"/>
          <w:i w:val="0"/>
          <w:caps w:val="0"/>
          <w:color w:val="000000"/>
          <w:spacing w:val="0"/>
          <w:sz w:val="24"/>
          <w:szCs w:val="24"/>
        </w:rPr>
        <w:t>政府网站公开政府信息</w:t>
      </w:r>
      <w:r>
        <w:rPr>
          <w:rFonts w:hint="eastAsia" w:ascii="华文中宋" w:hAnsi="华文中宋" w:eastAsia="华文中宋" w:cs="华文中宋"/>
          <w:b w:val="0"/>
          <w:i w:val="0"/>
          <w:caps w:val="0"/>
          <w:color w:val="000000"/>
          <w:spacing w:val="0"/>
          <w:sz w:val="24"/>
          <w:szCs w:val="24"/>
          <w:lang w:eastAsia="zh-CN"/>
        </w:rPr>
        <w:t>数量较去年大幅度增加，</w:t>
      </w:r>
      <w:r>
        <w:rPr>
          <w:rFonts w:hint="eastAsia" w:ascii="华文中宋" w:hAnsi="华文中宋" w:eastAsia="华文中宋" w:cs="华文中宋"/>
          <w:b w:val="0"/>
          <w:i w:val="0"/>
          <w:caps w:val="0"/>
          <w:color w:val="000000"/>
          <w:spacing w:val="0"/>
          <w:sz w:val="24"/>
          <w:szCs w:val="24"/>
        </w:rPr>
        <w:t>“余姚文旅”微信公众号</w:t>
      </w:r>
      <w:r>
        <w:rPr>
          <w:rFonts w:hint="eastAsia" w:ascii="华文中宋" w:hAnsi="华文中宋" w:eastAsia="华文中宋" w:cs="华文中宋"/>
          <w:b w:val="0"/>
          <w:i w:val="0"/>
          <w:caps w:val="0"/>
          <w:color w:val="000000"/>
          <w:spacing w:val="0"/>
          <w:sz w:val="24"/>
          <w:szCs w:val="24"/>
          <w:lang w:eastAsia="zh-CN"/>
        </w:rPr>
        <w:t>关注人数稳步提升。</w:t>
      </w:r>
      <w:r>
        <w:rPr>
          <w:rFonts w:hint="eastAsia" w:ascii="华文中宋" w:hAnsi="华文中宋" w:eastAsia="华文中宋" w:cs="华文中宋"/>
          <w:b w:val="0"/>
          <w:i w:val="0"/>
          <w:caps w:val="0"/>
          <w:color w:val="000000"/>
          <w:spacing w:val="0"/>
          <w:sz w:val="24"/>
          <w:szCs w:val="24"/>
        </w:rPr>
        <w:t>全年无行政诉讼和复议案件。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firstLineChars="200"/>
        <w:jc w:val="left"/>
        <w:textAlignment w:val="auto"/>
        <w:rPr>
          <w:rFonts w:hint="eastAsia" w:ascii="华文中宋" w:hAnsi="华文中宋" w:eastAsia="华文中宋" w:cs="华文中宋"/>
          <w:b w:val="0"/>
          <w:i w:val="0"/>
          <w:caps w:val="0"/>
          <w:color w:val="000000"/>
          <w:spacing w:val="0"/>
          <w:sz w:val="24"/>
          <w:szCs w:val="24"/>
          <w:lang w:eastAsia="zh-CN"/>
        </w:rPr>
      </w:pPr>
      <w:r>
        <w:rPr>
          <w:rFonts w:hint="eastAsia" w:ascii="华文中宋" w:hAnsi="华文中宋" w:eastAsia="华文中宋" w:cs="华文中宋"/>
          <w:b w:val="0"/>
          <w:i w:val="0"/>
          <w:caps w:val="0"/>
          <w:color w:val="000000"/>
          <w:spacing w:val="0"/>
          <w:sz w:val="24"/>
          <w:szCs w:val="24"/>
          <w:lang w:eastAsia="zh-CN"/>
        </w:rPr>
        <w:t>我局去年建立的“</w:t>
      </w:r>
      <w:r>
        <w:rPr>
          <w:rFonts w:hint="eastAsia" w:ascii="华文中宋" w:hAnsi="华文中宋" w:eastAsia="华文中宋" w:cs="华文中宋"/>
          <w:b w:val="0"/>
          <w:i w:val="0"/>
          <w:caps w:val="0"/>
          <w:color w:val="000000"/>
          <w:spacing w:val="0"/>
          <w:sz w:val="24"/>
          <w:szCs w:val="24"/>
        </w:rPr>
        <w:t>政府信息公开工作领导小组</w:t>
      </w:r>
      <w:r>
        <w:rPr>
          <w:rFonts w:hint="eastAsia" w:ascii="华文中宋" w:hAnsi="华文中宋" w:eastAsia="华文中宋" w:cs="华文中宋"/>
          <w:b w:val="0"/>
          <w:i w:val="0"/>
          <w:caps w:val="0"/>
          <w:color w:val="000000"/>
          <w:spacing w:val="0"/>
          <w:sz w:val="24"/>
          <w:szCs w:val="24"/>
          <w:lang w:eastAsia="zh-CN"/>
        </w:rPr>
        <w:t>”，经过一年多的磨合，业务更加熟练，分工更加细致，为我局完成上级部门安排的政务公开工作提供了有力的保证。在疫情期间，我局坚持履行公开职责，通过公众号、微博、政府网站等渠道不断发布、更新有关公共场所开放情况、旅行出入境政策等群众关心的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firstLineChars="200"/>
        <w:jc w:val="left"/>
        <w:textAlignment w:val="auto"/>
        <w:rPr>
          <w:rFonts w:hint="eastAsia" w:ascii="华文中宋" w:hAnsi="华文中宋" w:eastAsia="华文中宋" w:cs="华文中宋"/>
          <w:b w:val="0"/>
          <w:i w:val="0"/>
          <w:caps w:val="0"/>
          <w:color w:val="000000"/>
          <w:spacing w:val="0"/>
          <w:sz w:val="24"/>
          <w:szCs w:val="24"/>
          <w:lang w:val="en-US" w:eastAsia="zh-CN"/>
        </w:rPr>
      </w:pPr>
      <w:r>
        <w:rPr>
          <w:rFonts w:hint="eastAsia" w:ascii="华文中宋" w:hAnsi="华文中宋" w:eastAsia="华文中宋" w:cs="华文中宋"/>
          <w:b w:val="0"/>
          <w:i w:val="0"/>
          <w:caps w:val="0"/>
          <w:color w:val="000000"/>
          <w:spacing w:val="0"/>
          <w:sz w:val="24"/>
          <w:szCs w:val="24"/>
          <w:lang w:val="en-US" w:eastAsia="zh-CN"/>
        </w:rPr>
        <w:t>本年度，我局按照《浙江省人民政府办公厅关于全面推进基层政务公开标准化规范化工作的实施意见》（浙政办发〔2020〕16号）、《宁波市人民政府办公厅关于做好全面推进基层政务公开标准化规范化工作的通知》（甬政办发〔2020〕22号）的工作安排，在市府办政务公开科的指导下，以我市文化线实际工作情况为标准，编制了共计141项公开事项的《公共文化服务领域基层政务公开标准目录》。该目录已作为宁波市标准目录范本，供宁波市各区县公共文化服务领域基层政务公开标准目录的编制做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firstLineChars="200"/>
        <w:jc w:val="left"/>
        <w:textAlignment w:val="auto"/>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二、主动公开政府信息情况</w:t>
      </w:r>
    </w:p>
    <w:p>
      <w:pPr>
        <w:pStyle w:val="2"/>
        <w:keepNext w:val="0"/>
        <w:keepLines w:val="0"/>
        <w:widowControl/>
        <w:suppressLineNumbers w:val="0"/>
        <w:spacing w:before="0" w:beforeAutospacing="0" w:after="0" w:afterAutospacing="0" w:line="420" w:lineRule="atLeast"/>
        <w:ind w:left="0" w:right="0" w:firstLine="480" w:firstLineChars="200"/>
        <w:jc w:val="righ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表一</w:t>
      </w:r>
    </w:p>
    <w:tbl>
      <w:tblPr>
        <w:tblStyle w:val="3"/>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本年新制作数量</w:t>
            </w:r>
          </w:p>
        </w:tc>
        <w:tc>
          <w:tcPr>
            <w:tcW w:w="2268"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本年新公开数量</w:t>
            </w:r>
          </w:p>
        </w:tc>
        <w:tc>
          <w:tcPr>
            <w:tcW w:w="198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规章</w:t>
            </w:r>
          </w:p>
        </w:tc>
        <w:tc>
          <w:tcPr>
            <w:tcW w:w="2605"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2268"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规范性文件</w:t>
            </w:r>
          </w:p>
        </w:tc>
        <w:tc>
          <w:tcPr>
            <w:tcW w:w="2605"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135</w:t>
            </w:r>
          </w:p>
        </w:tc>
        <w:tc>
          <w:tcPr>
            <w:tcW w:w="2268"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66</w:t>
            </w:r>
          </w:p>
        </w:tc>
        <w:tc>
          <w:tcPr>
            <w:tcW w:w="1984"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hint="eastAsia" w:ascii="仿宋_GB2312" w:hAnsi="仿宋_GB2312" w:eastAsia="仿宋_GB2312" w:cs="仿宋_GB2312"/>
                <w:sz w:val="24"/>
                <w:szCs w:val="24"/>
              </w:rPr>
            </w:pPr>
          </w:p>
        </w:tc>
        <w:tc>
          <w:tcPr>
            <w:tcW w:w="2605" w:type="dxa"/>
            <w:vAlign w:val="center"/>
          </w:tcPr>
          <w:p>
            <w:pPr>
              <w:spacing w:line="400" w:lineRule="exact"/>
              <w:jc w:val="center"/>
              <w:rPr>
                <w:rFonts w:ascii="仿宋_GB2312" w:hAnsi="仿宋_GB2312" w:eastAsia="仿宋_GB2312" w:cs="Times New Roman"/>
                <w:sz w:val="24"/>
                <w:szCs w:val="24"/>
              </w:rPr>
            </w:pPr>
          </w:p>
        </w:tc>
        <w:tc>
          <w:tcPr>
            <w:tcW w:w="2268" w:type="dxa"/>
            <w:vAlign w:val="center"/>
          </w:tcPr>
          <w:p>
            <w:pPr>
              <w:spacing w:line="400" w:lineRule="exact"/>
              <w:jc w:val="center"/>
              <w:rPr>
                <w:rFonts w:ascii="仿宋_GB2312" w:hAnsi="仿宋_GB2312" w:eastAsia="仿宋_GB2312" w:cs="Times New Roman"/>
                <w:sz w:val="24"/>
                <w:szCs w:val="24"/>
              </w:rPr>
            </w:pPr>
          </w:p>
        </w:tc>
        <w:tc>
          <w:tcPr>
            <w:tcW w:w="1984" w:type="dxa"/>
            <w:vAlign w:val="center"/>
          </w:tcPr>
          <w:p>
            <w:pPr>
              <w:spacing w:line="40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信息内容</w:t>
            </w:r>
          </w:p>
        </w:tc>
        <w:tc>
          <w:tcPr>
            <w:tcW w:w="2605"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上一年项目数量</w:t>
            </w:r>
          </w:p>
        </w:tc>
        <w:tc>
          <w:tcPr>
            <w:tcW w:w="2268"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本年增/减</w:t>
            </w:r>
          </w:p>
        </w:tc>
        <w:tc>
          <w:tcPr>
            <w:tcW w:w="198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行政许可</w:t>
            </w:r>
          </w:p>
        </w:tc>
        <w:tc>
          <w:tcPr>
            <w:tcW w:w="2605"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106</w:t>
            </w:r>
          </w:p>
        </w:tc>
        <w:tc>
          <w:tcPr>
            <w:tcW w:w="2268"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-18</w:t>
            </w:r>
          </w:p>
        </w:tc>
        <w:tc>
          <w:tcPr>
            <w:tcW w:w="1984"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其他对外管理服务事项</w:t>
            </w:r>
          </w:p>
        </w:tc>
        <w:tc>
          <w:tcPr>
            <w:tcW w:w="2605"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23</w:t>
            </w:r>
          </w:p>
        </w:tc>
        <w:tc>
          <w:tcPr>
            <w:tcW w:w="2268"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信息内容</w:t>
            </w:r>
          </w:p>
        </w:tc>
        <w:tc>
          <w:tcPr>
            <w:tcW w:w="2605"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上一年项目数量</w:t>
            </w:r>
          </w:p>
        </w:tc>
        <w:tc>
          <w:tcPr>
            <w:tcW w:w="2268"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本年增/减</w:t>
            </w:r>
          </w:p>
        </w:tc>
        <w:tc>
          <w:tcPr>
            <w:tcW w:w="198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行政处罚</w:t>
            </w:r>
          </w:p>
        </w:tc>
        <w:tc>
          <w:tcPr>
            <w:tcW w:w="2605"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78</w:t>
            </w:r>
          </w:p>
        </w:tc>
        <w:tc>
          <w:tcPr>
            <w:tcW w:w="2268"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+107</w:t>
            </w:r>
          </w:p>
        </w:tc>
        <w:tc>
          <w:tcPr>
            <w:tcW w:w="1984"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行政强制</w:t>
            </w:r>
          </w:p>
        </w:tc>
        <w:tc>
          <w:tcPr>
            <w:tcW w:w="2605"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2</w:t>
            </w:r>
          </w:p>
        </w:tc>
        <w:tc>
          <w:tcPr>
            <w:tcW w:w="2268"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-1</w:t>
            </w:r>
          </w:p>
        </w:tc>
        <w:tc>
          <w:tcPr>
            <w:tcW w:w="198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上一年项目数量</w:t>
            </w:r>
          </w:p>
        </w:tc>
        <w:tc>
          <w:tcPr>
            <w:tcW w:w="4252" w:type="dxa"/>
            <w:gridSpan w:val="2"/>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行政事业性收费</w:t>
            </w:r>
          </w:p>
        </w:tc>
        <w:tc>
          <w:tcPr>
            <w:tcW w:w="2605"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4252" w:type="dxa"/>
            <w:gridSpan w:val="2"/>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采购项目数量</w:t>
            </w:r>
          </w:p>
        </w:tc>
        <w:tc>
          <w:tcPr>
            <w:tcW w:w="4252" w:type="dxa"/>
            <w:gridSpan w:val="2"/>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政府集中采购</w:t>
            </w:r>
          </w:p>
        </w:tc>
        <w:tc>
          <w:tcPr>
            <w:tcW w:w="2605" w:type="dxa"/>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29</w:t>
            </w:r>
          </w:p>
        </w:tc>
        <w:tc>
          <w:tcPr>
            <w:tcW w:w="4252" w:type="dxa"/>
            <w:gridSpan w:val="2"/>
            <w:vAlign w:val="center"/>
          </w:tcPr>
          <w:p>
            <w:pPr>
              <w:spacing w:line="400" w:lineRule="exact"/>
              <w:jc w:val="center"/>
              <w:rPr>
                <w:rFonts w:hint="default"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23568448.4</w:t>
            </w:r>
          </w:p>
        </w:tc>
      </w:tr>
    </w:tbl>
    <w:p>
      <w:pPr>
        <w:pStyle w:val="2"/>
        <w:keepNext w:val="0"/>
        <w:keepLines w:val="0"/>
        <w:widowControl/>
        <w:suppressLineNumbers w:val="0"/>
        <w:spacing w:before="0" w:beforeAutospacing="0" w:after="0" w:afterAutospacing="0" w:line="420" w:lineRule="atLeast"/>
        <w:ind w:right="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numPr>
          <w:ilvl w:val="0"/>
          <w:numId w:val="1"/>
        </w:numPr>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公开平台建设和信息发布情况 </w:t>
      </w:r>
    </w:p>
    <w:p>
      <w:pPr>
        <w:pStyle w:val="2"/>
        <w:keepNext w:val="0"/>
        <w:keepLines w:val="0"/>
        <w:widowControl/>
        <w:numPr>
          <w:numId w:val="0"/>
        </w:numPr>
        <w:suppressLineNumbers w:val="0"/>
        <w:spacing w:before="0" w:beforeAutospacing="0" w:after="0" w:afterAutospacing="0" w:line="420" w:lineRule="atLeast"/>
        <w:ind w:leftChars="200" w:right="0" w:rightChars="0"/>
        <w:jc w:val="left"/>
        <w:rPr>
          <w:rFonts w:hint="eastAsia" w:ascii="华文中宋" w:hAnsi="华文中宋" w:eastAsia="华文中宋" w:cs="华文中宋"/>
          <w:b w:val="0"/>
          <w:i w:val="0"/>
          <w:caps w:val="0"/>
          <w:color w:val="000000"/>
          <w:spacing w:val="0"/>
          <w:sz w:val="24"/>
          <w:szCs w:val="24"/>
        </w:rPr>
      </w:pPr>
      <w:bookmarkStart w:id="0" w:name="_GoBack"/>
      <w:bookmarkEnd w:id="0"/>
    </w:p>
    <w:p>
      <w:pPr>
        <w:pStyle w:val="2"/>
        <w:keepNext w:val="0"/>
        <w:keepLines w:val="0"/>
        <w:widowControl/>
        <w:suppressLineNumbers w:val="0"/>
        <w:spacing w:before="0" w:beforeAutospacing="0" w:after="0" w:afterAutospacing="0" w:line="420" w:lineRule="atLeast"/>
        <w:ind w:left="0" w:right="0" w:firstLine="480" w:firstLineChars="200"/>
        <w:jc w:val="righ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表二</w:t>
      </w:r>
    </w:p>
    <w:tbl>
      <w:tblPr>
        <w:tblStyle w:val="3"/>
        <w:tblW w:w="832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026"/>
        <w:gridCol w:w="769"/>
        <w:gridCol w:w="15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26" w:type="dxa"/>
            <w:tcBorders>
              <w:top w:val="outset" w:color="000000" w:sz="8" w:space="0"/>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统　计　指　标</w:t>
            </w:r>
          </w:p>
        </w:tc>
        <w:tc>
          <w:tcPr>
            <w:tcW w:w="769" w:type="dxa"/>
            <w:tcBorders>
              <w:top w:val="outset" w:color="auto" w:sz="8" w:space="0"/>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单位</w:t>
            </w:r>
          </w:p>
        </w:tc>
        <w:tc>
          <w:tcPr>
            <w:tcW w:w="1531" w:type="dxa"/>
            <w:tcBorders>
              <w:top w:val="outset" w:color="auto" w:sz="8" w:space="0"/>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统计数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2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（一）主动公开政府信息数（不同渠道和方式公开相同信息计1条）</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eastAsia="宋体"/>
                <w:lang w:val="en-US" w:eastAsia="zh-CN"/>
              </w:rPr>
            </w:pPr>
            <w:r>
              <w:rPr>
                <w:rFonts w:hint="default" w:ascii="sans-serif" w:hAnsi="sans-serif" w:eastAsia="sans-serif" w:cs="sans-serif"/>
                <w:b w:val="0"/>
                <w:i w:val="0"/>
                <w:caps w:val="0"/>
                <w:color w:val="000000"/>
                <w:spacing w:val="0"/>
                <w:sz w:val="24"/>
                <w:szCs w:val="24"/>
              </w:rPr>
              <w:t>5</w:t>
            </w:r>
            <w:r>
              <w:rPr>
                <w:rFonts w:hint="eastAsia" w:ascii="sans-serif" w:hAnsi="sans-serif" w:eastAsia="宋体" w:cs="sans-serif"/>
                <w:b w:val="0"/>
                <w:i w:val="0"/>
                <w:caps w:val="0"/>
                <w:color w:val="000000"/>
                <w:spacing w:val="0"/>
                <w:sz w:val="24"/>
                <w:szCs w:val="24"/>
                <w:lang w:val="en-US" w:eastAsia="zh-CN"/>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（二）通过不同渠道和方式公开政府信息的情况</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sans-serif" w:hAnsi="sans-serif" w:eastAsia="sans-serif" w:cs="sans-serif"/>
                <w:b w:val="0"/>
                <w:i w:val="0"/>
                <w:caps w:val="0"/>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1.政府公报公开政府信息数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2.政府网站公开政府信息数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sans-serif" w:hAnsi="sans-serif" w:eastAsia="sans-serif" w:cs="sans-serif"/>
                <w:b w:val="0"/>
                <w:i w:val="0"/>
                <w:caps w:val="0"/>
                <w:color w:val="000000"/>
                <w:spacing w:val="0"/>
                <w:sz w:val="24"/>
                <w:szCs w:val="24"/>
                <w:shd w:val="clear" w:color="auto" w:fill="auto"/>
              </w:rPr>
            </w:pPr>
            <w:r>
              <w:rPr>
                <w:rFonts w:hint="default" w:ascii="sans-serif" w:hAnsi="sans-serif" w:eastAsia="sans-serif" w:cs="sans-serif"/>
                <w:b w:val="0"/>
                <w:i w:val="0"/>
                <w:caps w:val="0"/>
                <w:color w:val="000000"/>
                <w:spacing w:val="0"/>
                <w:sz w:val="24"/>
                <w:szCs w:val="24"/>
                <w:shd w:val="clear" w:color="auto" w:fill="auto"/>
              </w:rPr>
              <w:t>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sans-serif" w:hAnsi="sans-serif" w:eastAsia="sans-serif" w:cs="sans-serif"/>
                <w:b w:val="0"/>
                <w:i w:val="0"/>
                <w:caps w:val="0"/>
                <w:color w:val="000000"/>
                <w:spacing w:val="0"/>
                <w:sz w:val="24"/>
                <w:szCs w:val="24"/>
                <w:shd w:val="clear" w:color="auto" w:fill="auto"/>
                <w:lang w:val="en-US" w:eastAsia="zh-CN"/>
              </w:rPr>
            </w:pPr>
            <w:r>
              <w:rPr>
                <w:rFonts w:hint="eastAsia" w:ascii="sans-serif" w:hAnsi="sans-serif" w:eastAsia="sans-serif" w:cs="sans-serif"/>
                <w:b w:val="0"/>
                <w:i w:val="0"/>
                <w:caps w:val="0"/>
                <w:color w:val="000000"/>
                <w:spacing w:val="0"/>
                <w:sz w:val="24"/>
                <w:szCs w:val="24"/>
                <w:shd w:val="clear" w:color="auto" w:fill="auto"/>
                <w:lang w:val="en-US" w:eastAsia="zh-CN"/>
              </w:rPr>
              <w:t>218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3.政务微博公开政府信息数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lang w:val="en-US"/>
              </w:rPr>
            </w:pPr>
            <w:r>
              <w:rPr>
                <w:rFonts w:hint="default" w:ascii="sans-serif" w:hAnsi="sans-serif" w:eastAsia="sans-serif" w:cs="sans-serif"/>
                <w:b w:val="0"/>
                <w:i w:val="0"/>
                <w:caps w:val="0"/>
                <w:color w:val="000000"/>
                <w:spacing w:val="0"/>
                <w:sz w:val="24"/>
                <w:szCs w:val="24"/>
              </w:rPr>
              <w:t>1</w:t>
            </w:r>
            <w:r>
              <w:rPr>
                <w:rFonts w:hint="eastAsia" w:ascii="sans-serif" w:hAnsi="sans-serif" w:eastAsia="宋体" w:cs="sans-serif"/>
                <w:b w:val="0"/>
                <w:i w:val="0"/>
                <w:caps w:val="0"/>
                <w:color w:val="000000"/>
                <w:spacing w:val="0"/>
                <w:sz w:val="24"/>
                <w:szCs w:val="24"/>
                <w:lang w:val="en-US" w:eastAsia="zh-CN"/>
              </w:rPr>
              <w:t>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4.政务微信公开政府信息数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sans-serif" w:hAnsi="sans-serif" w:eastAsia="宋体" w:cs="sans-serif"/>
                <w:b w:val="0"/>
                <w:i w:val="0"/>
                <w:caps w:val="0"/>
                <w:color w:val="000000"/>
                <w:spacing w:val="0"/>
                <w:sz w:val="24"/>
                <w:szCs w:val="24"/>
                <w:lang w:val="en-US" w:eastAsia="zh-CN"/>
              </w:rPr>
            </w:pPr>
            <w:r>
              <w:rPr>
                <w:rFonts w:hint="default" w:ascii="sans-serif" w:hAnsi="sans-serif" w:eastAsia="宋体" w:cs="sans-serif"/>
                <w:b w:val="0"/>
                <w:i w:val="0"/>
                <w:caps w:val="0"/>
                <w:color w:val="000000"/>
                <w:spacing w:val="0"/>
                <w:sz w:val="24"/>
                <w:szCs w:val="24"/>
                <w:lang w:val="en-US" w:eastAsia="zh-CN"/>
              </w:rPr>
              <w:t>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sans-serif" w:hAnsi="sans-serif" w:eastAsia="宋体" w:cs="sans-serif"/>
                <w:b w:val="0"/>
                <w:i w:val="0"/>
                <w:caps w:val="0"/>
                <w:color w:val="000000"/>
                <w:spacing w:val="0"/>
                <w:sz w:val="24"/>
                <w:szCs w:val="24"/>
                <w:lang w:val="en-US" w:eastAsia="zh-CN"/>
              </w:rPr>
            </w:pPr>
            <w:r>
              <w:rPr>
                <w:rFonts w:hint="eastAsia" w:ascii="sans-serif" w:hAnsi="sans-serif" w:eastAsia="宋体" w:cs="sans-serif"/>
                <w:b w:val="0"/>
                <w:i w:val="0"/>
                <w:caps w:val="0"/>
                <w:color w:val="000000"/>
                <w:spacing w:val="0"/>
                <w:sz w:val="24"/>
                <w:szCs w:val="24"/>
                <w:lang w:val="en-US" w:eastAsia="zh-CN"/>
              </w:rPr>
              <w:t>238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2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（三）回应公众关注热点或重大舆情数（不同方式回应同一热点或舆情计1次）</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（四）通过不同渠道和方式回应解读的情况</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sans-serif" w:hAnsi="sans-serif" w:eastAsia="sans-serif" w:cs="sans-serif"/>
                <w:b w:val="0"/>
                <w:i w:val="0"/>
                <w:caps w:val="0"/>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1.参加或举办新闻发布会总次数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其中：主要负责同志参加新闻发布会次数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2.政府网站在线访谈次数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其中：主要负责同志参加政府网站在线访谈次数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3.政策解读稿件发布数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篇</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6026" w:type="dxa"/>
            <w:tcBorders>
              <w:top w:val="nil"/>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4.微博微信回应事件数</w:t>
            </w:r>
          </w:p>
        </w:tc>
        <w:tc>
          <w:tcPr>
            <w:tcW w:w="769"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次</w:t>
            </w:r>
          </w:p>
        </w:tc>
        <w:tc>
          <w:tcPr>
            <w:tcW w:w="1531" w:type="dxa"/>
            <w:tcBorders>
              <w:top w:val="nil"/>
              <w:left w:val="nil"/>
              <w:bottom w:val="outset" w:color="auto" w:sz="8" w:space="0"/>
              <w:right w:val="outset"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default" w:ascii="sans-serif" w:hAnsi="sans-serif" w:eastAsia="sans-serif" w:cs="sans-serif"/>
                <w:b w:val="0"/>
                <w:i w:val="0"/>
                <w:caps w:val="0"/>
                <w:color w:val="000000"/>
                <w:spacing w:val="0"/>
                <w:sz w:val="24"/>
                <w:szCs w:val="24"/>
              </w:rPr>
              <w:t>0</w:t>
            </w:r>
          </w:p>
        </w:tc>
      </w:tr>
    </w:tbl>
    <w:p>
      <w:pPr>
        <w:pStyle w:val="2"/>
        <w:keepNext w:val="0"/>
        <w:keepLines w:val="0"/>
        <w:widowControl/>
        <w:suppressLineNumbers w:val="0"/>
        <w:spacing w:before="0" w:beforeAutospacing="0" w:after="0" w:afterAutospacing="0" w:line="420" w:lineRule="atLeast"/>
        <w:ind w:left="0" w:right="0" w:firstLine="480" w:firstLineChars="200"/>
        <w:jc w:val="lef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四、收到和处理政府信息公开申请情况</w:t>
      </w:r>
    </w:p>
    <w:p>
      <w:pPr>
        <w:pStyle w:val="2"/>
        <w:keepNext w:val="0"/>
        <w:keepLines w:val="0"/>
        <w:widowControl/>
        <w:suppressLineNumbers w:val="0"/>
        <w:spacing w:before="0" w:beforeAutospacing="0" w:after="0" w:afterAutospacing="0" w:line="420" w:lineRule="atLeast"/>
        <w:ind w:left="0" w:right="0" w:firstLine="480" w:firstLineChars="200"/>
        <w:jc w:val="righ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表三</w:t>
      </w:r>
    </w:p>
    <w:tbl>
      <w:tblPr>
        <w:tblStyle w:val="3"/>
        <w:tblpPr w:leftFromText="180" w:rightFromText="180" w:vertAnchor="text" w:horzAnchor="page" w:tblpX="1362" w:tblpY="592"/>
        <w:tblOverlap w:val="never"/>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restart"/>
            <w:vAlign w:val="center"/>
          </w:tcPr>
          <w:p>
            <w:pPr>
              <w:spacing w:line="400" w:lineRule="exact"/>
              <w:rPr>
                <w:rFonts w:ascii="宋体" w:eastAsia="宋体" w:cs="Times New Roman"/>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74" w:type="dxa"/>
            <w:gridSpan w:val="7"/>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continue"/>
            <w:vAlign w:val="center"/>
          </w:tcPr>
          <w:p>
            <w:pPr>
              <w:spacing w:line="400" w:lineRule="exact"/>
              <w:rPr>
                <w:rFonts w:ascii="宋体" w:eastAsia="宋体" w:cs="Times New Roman"/>
                <w:sz w:val="18"/>
                <w:szCs w:val="18"/>
              </w:rPr>
            </w:pPr>
          </w:p>
        </w:tc>
        <w:tc>
          <w:tcPr>
            <w:tcW w:w="839" w:type="dxa"/>
            <w:vMerge w:val="restart"/>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自然人</w:t>
            </w:r>
          </w:p>
        </w:tc>
        <w:tc>
          <w:tcPr>
            <w:tcW w:w="3705" w:type="dxa"/>
            <w:gridSpan w:val="5"/>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法人或其他组织</w:t>
            </w:r>
          </w:p>
        </w:tc>
        <w:tc>
          <w:tcPr>
            <w:tcW w:w="630" w:type="dxa"/>
            <w:vMerge w:val="restart"/>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continue"/>
            <w:vAlign w:val="center"/>
          </w:tcPr>
          <w:p>
            <w:pPr>
              <w:spacing w:line="400" w:lineRule="exact"/>
              <w:rPr>
                <w:rFonts w:ascii="宋体" w:eastAsia="宋体" w:cs="Times New Roman"/>
                <w:sz w:val="18"/>
                <w:szCs w:val="18"/>
              </w:rPr>
            </w:pPr>
          </w:p>
        </w:tc>
        <w:tc>
          <w:tcPr>
            <w:tcW w:w="839" w:type="dxa"/>
            <w:vMerge w:val="continue"/>
            <w:vAlign w:val="center"/>
          </w:tcPr>
          <w:p>
            <w:pPr>
              <w:spacing w:line="400" w:lineRule="exact"/>
              <w:rPr>
                <w:rFonts w:ascii="黑体" w:hAnsi="黑体" w:eastAsia="黑体" w:cs="Times New Roman"/>
                <w:sz w:val="24"/>
                <w:szCs w:val="24"/>
              </w:rPr>
            </w:pPr>
          </w:p>
        </w:tc>
        <w:tc>
          <w:tcPr>
            <w:tcW w:w="709"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商业企业</w:t>
            </w:r>
          </w:p>
        </w:tc>
        <w:tc>
          <w:tcPr>
            <w:tcW w:w="709"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科研机构</w:t>
            </w:r>
          </w:p>
        </w:tc>
        <w:tc>
          <w:tcPr>
            <w:tcW w:w="992"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社会公益组织</w:t>
            </w:r>
          </w:p>
        </w:tc>
        <w:tc>
          <w:tcPr>
            <w:tcW w:w="81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法律服务机构</w:t>
            </w:r>
          </w:p>
        </w:tc>
        <w:tc>
          <w:tcPr>
            <w:tcW w:w="481"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其他</w:t>
            </w:r>
          </w:p>
        </w:tc>
        <w:tc>
          <w:tcPr>
            <w:tcW w:w="630" w:type="dxa"/>
            <w:vMerge w:val="continue"/>
            <w:vAlign w:val="center"/>
          </w:tcPr>
          <w:p>
            <w:pPr>
              <w:spacing w:line="400" w:lineRule="exact"/>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5" w:type="dxa"/>
            <w:gridSpan w:val="3"/>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一、本年新收到政府信息公开申请数量</w:t>
            </w:r>
          </w:p>
        </w:tc>
        <w:tc>
          <w:tcPr>
            <w:tcW w:w="839"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25" w:type="dxa"/>
            <w:gridSpan w:val="3"/>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二、上年转结政府信息公开申请数量</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三、本年度办理结果</w:t>
            </w: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（一）予以公开</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（三）不予公开</w:t>
            </w: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属于国家秘密</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其他法律行政法规禁止公开</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危及“三安全一稳定”</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保护第三方合法权益</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属于三类内部事务信息</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属于四类过程性信息</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属于行政执法案卷</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属于行政查询事项</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（四）无法提供</w:t>
            </w: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本机关不掌握相关政府信息</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没有现成信息需要另行制作</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补正后申请内容仍不明确</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（五）不予处理</w:t>
            </w: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信访举报投诉类申请</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重复申请</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要求提供公开出版物</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无正当理由大量反复申请</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要求行政机关确认或重新出具已获取信息</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（六）其他处理</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55" w:type="dxa"/>
            <w:vMerge w:val="continue"/>
            <w:vAlign w:val="center"/>
          </w:tcPr>
          <w:p>
            <w:pPr>
              <w:spacing w:line="400" w:lineRule="exact"/>
              <w:rPr>
                <w:rFonts w:ascii="仿宋_GB2312" w:hAnsi="仿宋_GB2312" w:eastAsia="仿宋_GB2312" w:cs="Times New Roman"/>
                <w:sz w:val="24"/>
                <w:szCs w:val="24"/>
              </w:rPr>
            </w:pP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（七）总计</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225" w:type="dxa"/>
            <w:gridSpan w:val="3"/>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四、转结下年度继续办理</w:t>
            </w:r>
          </w:p>
        </w:tc>
        <w:tc>
          <w:tcPr>
            <w:tcW w:w="83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bl>
    <w:p>
      <w:pPr>
        <w:pStyle w:val="2"/>
        <w:keepNext w:val="0"/>
        <w:keepLines w:val="0"/>
        <w:widowControl/>
        <w:suppressLineNumbers w:val="0"/>
        <w:spacing w:before="0" w:beforeAutospacing="0" w:after="0" w:afterAutospacing="0" w:line="420" w:lineRule="atLeast"/>
        <w:ind w:left="0" w:right="0" w:firstLine="480" w:firstLineChars="20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0" w:beforeAutospacing="0" w:after="0" w:afterAutospacing="0" w:line="420" w:lineRule="atLeast"/>
        <w:ind w:left="0" w:right="0" w:firstLine="480" w:firstLineChars="20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五、政府信息公开行政复议、行政诉讼情况</w:t>
      </w:r>
    </w:p>
    <w:p>
      <w:pPr>
        <w:pStyle w:val="2"/>
        <w:keepNext w:val="0"/>
        <w:keepLines w:val="0"/>
        <w:widowControl/>
        <w:suppressLineNumbers w:val="0"/>
        <w:spacing w:before="0" w:beforeAutospacing="0" w:after="0" w:afterAutospacing="0" w:line="420" w:lineRule="atLeast"/>
        <w:ind w:left="0" w:right="0" w:firstLine="480" w:firstLineChars="200"/>
        <w:jc w:val="righ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表四 </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579"/>
        <w:gridCol w:w="579"/>
        <w:gridCol w:w="579"/>
        <w:gridCol w:w="581"/>
        <w:gridCol w:w="580"/>
        <w:gridCol w:w="580"/>
        <w:gridCol w:w="580"/>
        <w:gridCol w:w="580"/>
        <w:gridCol w:w="581"/>
        <w:gridCol w:w="580"/>
        <w:gridCol w:w="580"/>
        <w:gridCol w:w="580"/>
        <w:gridCol w:w="580"/>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99" w:type="pct"/>
            <w:gridSpan w:val="5"/>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行政复议</w:t>
            </w:r>
          </w:p>
        </w:tc>
        <w:tc>
          <w:tcPr>
            <w:tcW w:w="3300" w:type="pct"/>
            <w:gridSpan w:val="10"/>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3840" w:firstLineChars="16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39"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维持</w:t>
            </w:r>
          </w:p>
        </w:tc>
        <w:tc>
          <w:tcPr>
            <w:tcW w:w="339"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339"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339"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340"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1702" w:type="pct"/>
            <w:gridSpan w:val="5"/>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未经复议直接起诉</w:t>
            </w:r>
          </w:p>
        </w:tc>
        <w:tc>
          <w:tcPr>
            <w:tcW w:w="1598" w:type="pct"/>
            <w:gridSpan w:val="5"/>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3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39"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39"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39"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39"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40"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结果维持</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 果</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 持</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 正</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340"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237"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39"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default"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39"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39"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39"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40"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237" w:type="pct"/>
            <w:noWrap w:val="0"/>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jc w:val="both"/>
              <w:textAlignment w:val="auto"/>
              <w:rPr>
                <w:rFonts w:hint="eastAsia" w:ascii="Times New Roman" w:hAnsi="Times New Roman" w:eastAsia="仿宋_GB2312" w:cs="Times New Roman"/>
                <w:b w:val="0"/>
                <w:bCs w:val="0"/>
                <w:snapToGrid w:val="0"/>
                <w:kern w:val="0"/>
                <w:sz w:val="24"/>
                <w:szCs w:val="24"/>
                <w:highlight w:val="none"/>
                <w:lang w:val="en-US" w:eastAsia="zh-CN" w:bidi="ar-SA"/>
              </w:rPr>
            </w:pPr>
            <w:r>
              <w:rPr>
                <w:rFonts w:hint="eastAsia" w:ascii="Times New Roman" w:hAnsi="Times New Roman" w:eastAsia="仿宋_GB2312" w:cs="Times New Roman"/>
                <w:b w:val="0"/>
                <w:bCs w:val="0"/>
                <w:snapToGrid w:val="0"/>
                <w:kern w:val="0"/>
                <w:sz w:val="24"/>
                <w:szCs w:val="24"/>
                <w:highlight w:val="none"/>
                <w:lang w:val="en-US" w:eastAsia="zh-CN"/>
              </w:rPr>
              <w:t>0</w:t>
            </w:r>
          </w:p>
        </w:tc>
      </w:tr>
    </w:tbl>
    <w:p>
      <w:pPr>
        <w:pStyle w:val="2"/>
        <w:keepNext w:val="0"/>
        <w:keepLines w:val="0"/>
        <w:widowControl/>
        <w:suppressLineNumbers w:val="0"/>
        <w:spacing w:before="0" w:beforeAutospacing="0" w:after="0" w:afterAutospacing="0" w:line="420" w:lineRule="atLeast"/>
        <w:ind w:right="0"/>
        <w:rPr>
          <w:rFonts w:hint="eastAsia" w:ascii="华文中宋" w:hAnsi="华文中宋" w:eastAsia="华文中宋" w:cs="华文中宋"/>
          <w:b w:val="0"/>
          <w:i w:val="0"/>
          <w:caps w:val="0"/>
          <w:color w:val="000000"/>
          <w:spacing w:val="0"/>
          <w:sz w:val="24"/>
          <w:szCs w:val="24"/>
        </w:rPr>
      </w:pPr>
    </w:p>
    <w:p>
      <w:pPr>
        <w:pStyle w:val="2"/>
        <w:keepNext w:val="0"/>
        <w:keepLines w:val="0"/>
        <w:widowControl/>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六、存在的主要问题及改进情况</w:t>
      </w:r>
    </w:p>
    <w:p>
      <w:pPr>
        <w:pStyle w:val="2"/>
        <w:keepNext w:val="0"/>
        <w:keepLines w:val="0"/>
        <w:widowControl/>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lang w:eastAsia="zh-CN"/>
        </w:rPr>
      </w:pPr>
      <w:r>
        <w:rPr>
          <w:rFonts w:hint="eastAsia" w:ascii="华文中宋" w:hAnsi="华文中宋" w:eastAsia="华文中宋" w:cs="华文中宋"/>
          <w:b w:val="0"/>
          <w:i w:val="0"/>
          <w:caps w:val="0"/>
          <w:color w:val="000000"/>
          <w:spacing w:val="0"/>
          <w:sz w:val="24"/>
          <w:szCs w:val="24"/>
          <w:lang w:eastAsia="zh-CN"/>
        </w:rPr>
        <w:t>本年度由于疫情影响持续不断，人民群众希望我局发布的信息较多，如景区开放通知、旅行出入境政策等。由于相关信息涉及到上级、本级部门政策和下属单位实际情况，且相关信息根据本地乃至国内外疫情情况不断变动，要将所有信息进行公开且同步更新有一定的难度。我局根据信息的重要程度，以群众最关心的本地景点开放计划、高风险地区回姚相关规定等为重点公开项目，为群众提供了相对较有时效性的信息渠道。</w:t>
      </w:r>
    </w:p>
    <w:p>
      <w:pPr>
        <w:pStyle w:val="2"/>
        <w:keepNext w:val="0"/>
        <w:keepLines w:val="0"/>
        <w:widowControl/>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lang w:eastAsia="zh-CN"/>
        </w:rPr>
      </w:pPr>
    </w:p>
    <w:p>
      <w:pPr>
        <w:pStyle w:val="2"/>
        <w:keepNext w:val="0"/>
        <w:keepLines w:val="0"/>
        <w:widowControl/>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七、其他需要报告的事项</w:t>
      </w:r>
    </w:p>
    <w:p>
      <w:pPr>
        <w:pStyle w:val="2"/>
        <w:keepNext w:val="0"/>
        <w:keepLines w:val="0"/>
        <w:widowControl/>
        <w:suppressLineNumbers w:val="0"/>
        <w:spacing w:before="0" w:beforeAutospacing="0" w:after="0" w:afterAutospacing="0" w:line="420" w:lineRule="atLeast"/>
        <w:ind w:left="0" w:right="0" w:firstLine="480" w:firstLineChars="200"/>
        <w:jc w:val="lef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本年度无其他需要报告的事项。 </w:t>
      </w:r>
    </w:p>
    <w:p>
      <w:pPr>
        <w:pStyle w:val="2"/>
        <w:keepNext w:val="0"/>
        <w:keepLines w:val="0"/>
        <w:widowControl/>
        <w:suppressLineNumbers w:val="0"/>
        <w:spacing w:before="0" w:beforeAutospacing="0" w:after="0" w:afterAutospacing="0" w:line="420" w:lineRule="atLeast"/>
        <w:ind w:left="0" w:right="0" w:firstLine="480" w:firstLineChars="200"/>
        <w:jc w:val="righ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余姚市文化和广电旅游体育局</w:t>
      </w:r>
    </w:p>
    <w:p>
      <w:pPr>
        <w:pStyle w:val="2"/>
        <w:keepNext w:val="0"/>
        <w:keepLines w:val="0"/>
        <w:widowControl/>
        <w:suppressLineNumbers w:val="0"/>
        <w:spacing w:before="0" w:beforeAutospacing="0" w:after="0" w:afterAutospacing="0" w:line="420" w:lineRule="atLeast"/>
        <w:ind w:left="0" w:right="0" w:firstLine="480" w:firstLineChars="200"/>
        <w:jc w:val="right"/>
        <w:rPr>
          <w:rFonts w:hint="eastAsia" w:ascii="华文中宋" w:hAnsi="华文中宋" w:eastAsia="华文中宋" w:cs="华文中宋"/>
          <w:b w:val="0"/>
          <w:i w:val="0"/>
          <w:caps w:val="0"/>
          <w:color w:val="000000"/>
          <w:spacing w:val="0"/>
          <w:sz w:val="24"/>
          <w:szCs w:val="24"/>
        </w:rPr>
      </w:pPr>
      <w:r>
        <w:rPr>
          <w:rFonts w:hint="eastAsia" w:ascii="华文中宋" w:hAnsi="华文中宋" w:eastAsia="华文中宋" w:cs="华文中宋"/>
          <w:b w:val="0"/>
          <w:i w:val="0"/>
          <w:caps w:val="0"/>
          <w:color w:val="000000"/>
          <w:spacing w:val="0"/>
          <w:sz w:val="24"/>
          <w:szCs w:val="24"/>
        </w:rPr>
        <w:t>202</w:t>
      </w:r>
      <w:r>
        <w:rPr>
          <w:rFonts w:hint="eastAsia" w:ascii="华文中宋" w:hAnsi="华文中宋" w:eastAsia="华文中宋" w:cs="华文中宋"/>
          <w:b w:val="0"/>
          <w:i w:val="0"/>
          <w:caps w:val="0"/>
          <w:color w:val="000000"/>
          <w:spacing w:val="0"/>
          <w:sz w:val="24"/>
          <w:szCs w:val="24"/>
          <w:lang w:val="en-US" w:eastAsia="zh-CN"/>
        </w:rPr>
        <w:t>1</w:t>
      </w:r>
      <w:r>
        <w:rPr>
          <w:rFonts w:hint="eastAsia" w:ascii="华文中宋" w:hAnsi="华文中宋" w:eastAsia="华文中宋" w:cs="华文中宋"/>
          <w:b w:val="0"/>
          <w:i w:val="0"/>
          <w:caps w:val="0"/>
          <w:color w:val="000000"/>
          <w:spacing w:val="0"/>
          <w:sz w:val="24"/>
          <w:szCs w:val="24"/>
        </w:rPr>
        <w:t>年</w:t>
      </w:r>
      <w:r>
        <w:rPr>
          <w:rFonts w:hint="eastAsia" w:ascii="华文中宋" w:hAnsi="华文中宋" w:eastAsia="华文中宋" w:cs="华文中宋"/>
          <w:b w:val="0"/>
          <w:i w:val="0"/>
          <w:caps w:val="0"/>
          <w:color w:val="000000"/>
          <w:spacing w:val="0"/>
          <w:sz w:val="24"/>
          <w:szCs w:val="24"/>
          <w:lang w:val="en-US" w:eastAsia="zh-CN"/>
        </w:rPr>
        <w:t>1</w:t>
      </w:r>
      <w:r>
        <w:rPr>
          <w:rFonts w:hint="eastAsia" w:ascii="华文中宋" w:hAnsi="华文中宋" w:eastAsia="华文中宋" w:cs="华文中宋"/>
          <w:b w:val="0"/>
          <w:i w:val="0"/>
          <w:caps w:val="0"/>
          <w:color w:val="000000"/>
          <w:spacing w:val="0"/>
          <w:sz w:val="24"/>
          <w:szCs w:val="24"/>
        </w:rPr>
        <w:t>月2</w:t>
      </w:r>
      <w:r>
        <w:rPr>
          <w:rFonts w:hint="eastAsia" w:ascii="华文中宋" w:hAnsi="华文中宋" w:eastAsia="华文中宋" w:cs="华文中宋"/>
          <w:b w:val="0"/>
          <w:i w:val="0"/>
          <w:caps w:val="0"/>
          <w:color w:val="000000"/>
          <w:spacing w:val="0"/>
          <w:sz w:val="24"/>
          <w:szCs w:val="24"/>
          <w:lang w:val="en-US" w:eastAsia="zh-CN"/>
        </w:rPr>
        <w:t>2</w:t>
      </w:r>
      <w:r>
        <w:rPr>
          <w:rFonts w:hint="eastAsia" w:ascii="华文中宋" w:hAnsi="华文中宋" w:eastAsia="华文中宋" w:cs="华文中宋"/>
          <w:b w:val="0"/>
          <w:i w:val="0"/>
          <w:caps w:val="0"/>
          <w:color w:val="000000"/>
          <w:spacing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ans-serif">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67D9F"/>
    <w:multiLevelType w:val="singleLevel"/>
    <w:tmpl w:val="BE867D9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77665"/>
    <w:rsid w:val="2E42774F"/>
    <w:rsid w:val="2F02098D"/>
    <w:rsid w:val="480F73E9"/>
    <w:rsid w:val="499F5E21"/>
    <w:rsid w:val="4BD40CA1"/>
    <w:rsid w:val="54367328"/>
    <w:rsid w:val="7CC776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2020-03-25T07:31:00Z</dcterms:created>
  <dc:creator>王之涣</dc:creator>
  <cp:lastModifiedBy>匿名用户</cp:lastModifiedBy>
  <dcterms:modified xsi:type="dcterms:W3CDTF">2021-01-22T09:13:31Z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