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余姚市人民政府招商中心20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lang w:eastAsia="zh-CN"/>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根据《中华人民共和国政府信息公开条例》《国务院办公厅政府信息与政务公开办公室关于政府信息公开工作年度报告有关事项的通知》（国办公开办函〔2019〕60号）和余姚市政府关于信息公开工作部署要求，现将2020年市招商中心政府信息公开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2020年在市委市政府的领导下，市招商中心高度重视政务公开工作，结合招商引资工作实际，围绕年初目标任务，加强组织协调，完善体制机制，拓展公开内容，狠抓责任落实，政务公开工作扎实有序推进。全年在市政府信息公开中主动公开信息129条</w:t>
      </w:r>
      <w:r>
        <w:rPr>
          <w:rFonts w:hint="eastAsia" w:ascii="仿宋_GB2312" w:hAnsi="宋体" w:eastAsia="仿宋_GB2312"/>
          <w:color w:val="000000"/>
          <w:sz w:val="32"/>
          <w:szCs w:val="32"/>
          <w:shd w:val="solid" w:color="FFFFFF" w:fill="auto"/>
        </w:rPr>
        <w:t>（</w:t>
      </w:r>
      <w:r>
        <w:rPr>
          <w:rFonts w:hint="eastAsia" w:ascii="仿宋_GB2312" w:hAnsi="宋体" w:eastAsia="仿宋_GB2312" w:cs="宋体"/>
          <w:color w:val="000000"/>
          <w:kern w:val="0"/>
          <w:sz w:val="32"/>
          <w:szCs w:val="32"/>
        </w:rPr>
        <w:t>法规公文及政策类信息</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条，人事信息</w:t>
      </w:r>
      <w:r>
        <w:rPr>
          <w:rFonts w:hint="eastAsia" w:ascii="仿宋_GB2312" w:hAnsi="宋体" w:eastAsia="仿宋_GB2312" w:cs="宋体"/>
          <w:color w:val="000000"/>
          <w:kern w:val="0"/>
          <w:sz w:val="32"/>
          <w:szCs w:val="32"/>
          <w:highlight w:val="none"/>
          <w:lang w:val="en-US" w:eastAsia="zh-CN"/>
        </w:rPr>
        <w:t>0</w:t>
      </w:r>
      <w:r>
        <w:rPr>
          <w:rFonts w:hint="eastAsia" w:ascii="仿宋_GB2312" w:hAnsi="宋体" w:eastAsia="仿宋_GB2312" w:cs="宋体"/>
          <w:color w:val="000000"/>
          <w:kern w:val="0"/>
          <w:sz w:val="32"/>
          <w:szCs w:val="32"/>
        </w:rPr>
        <w:t>条，财政预决算信息</w:t>
      </w:r>
      <w:r>
        <w:rPr>
          <w:rFonts w:hint="eastAsia" w:ascii="仿宋_GB2312" w:hAnsi="宋体" w:eastAsia="仿宋_GB2312" w:cs="宋体"/>
          <w:color w:val="000000"/>
          <w:kern w:val="0"/>
          <w:sz w:val="32"/>
          <w:szCs w:val="32"/>
          <w:highlight w:val="none"/>
        </w:rPr>
        <w:t>2</w:t>
      </w:r>
      <w:r>
        <w:rPr>
          <w:rFonts w:hint="eastAsia" w:ascii="仿宋_GB2312" w:hAnsi="宋体" w:eastAsia="仿宋_GB2312" w:cs="宋体"/>
          <w:color w:val="000000"/>
          <w:kern w:val="0"/>
          <w:sz w:val="32"/>
          <w:szCs w:val="32"/>
        </w:rPr>
        <w:t>条，工作动态类信息</w:t>
      </w:r>
      <w:r>
        <w:rPr>
          <w:rFonts w:hint="eastAsia" w:ascii="仿宋_GB2312" w:hAnsi="宋体" w:eastAsia="仿宋_GB2312" w:cs="宋体"/>
          <w:color w:val="000000"/>
          <w:kern w:val="0"/>
          <w:sz w:val="32"/>
          <w:szCs w:val="32"/>
          <w:highlight w:val="none"/>
          <w:lang w:val="en-US" w:eastAsia="zh-CN"/>
        </w:rPr>
        <w:t>114</w:t>
      </w:r>
      <w:r>
        <w:rPr>
          <w:rFonts w:hint="eastAsia" w:ascii="仿宋_GB2312" w:hAnsi="宋体" w:eastAsia="仿宋_GB2312" w:cs="宋体"/>
          <w:color w:val="000000"/>
          <w:kern w:val="0"/>
          <w:sz w:val="32"/>
          <w:szCs w:val="32"/>
        </w:rPr>
        <w:t>条，公告公示信息</w:t>
      </w:r>
      <w:r>
        <w:rPr>
          <w:rFonts w:hint="eastAsia" w:ascii="仿宋_GB2312" w:hAnsi="宋体" w:eastAsia="仿宋_GB2312" w:cs="宋体"/>
          <w:color w:val="000000"/>
          <w:kern w:val="0"/>
          <w:sz w:val="32"/>
          <w:szCs w:val="32"/>
          <w:highlight w:val="none"/>
          <w:lang w:val="en-US" w:eastAsia="zh-CN"/>
        </w:rPr>
        <w:t>6</w:t>
      </w:r>
      <w:r>
        <w:rPr>
          <w:rFonts w:hint="eastAsia" w:ascii="仿宋_GB2312" w:hAnsi="宋体" w:eastAsia="仿宋_GB2312" w:cs="宋体"/>
          <w:color w:val="000000"/>
          <w:kern w:val="0"/>
          <w:sz w:val="32"/>
          <w:szCs w:val="32"/>
        </w:rPr>
        <w:t>条</w:t>
      </w:r>
      <w:r>
        <w:rPr>
          <w:rFonts w:hint="eastAsia" w:ascii="仿宋_GB2312" w:hAnsi="宋体" w:eastAsia="仿宋_GB2312" w:cs="宋体"/>
          <w:color w:val="000000"/>
          <w:kern w:val="0"/>
          <w:sz w:val="32"/>
          <w:szCs w:val="32"/>
          <w:lang w:eastAsia="zh-CN"/>
        </w:rPr>
        <w:t>，</w:t>
      </w:r>
      <w:r>
        <w:rPr>
          <w:rFonts w:hint="eastAsia" w:ascii="仿宋_GB2312" w:hAnsi="宋体" w:eastAsia="仿宋_GB2312" w:cs="ˎ̥"/>
          <w:color w:val="000000"/>
          <w:sz w:val="32"/>
          <w:szCs w:val="32"/>
        </w:rPr>
        <w:t>本年报中所列数据统计时间截至20</w:t>
      </w:r>
      <w:r>
        <w:rPr>
          <w:rFonts w:hint="eastAsia" w:ascii="仿宋_GB2312" w:hAnsi="宋体" w:eastAsia="仿宋_GB2312" w:cs="ˎ̥"/>
          <w:color w:val="000000"/>
          <w:sz w:val="32"/>
          <w:szCs w:val="32"/>
          <w:lang w:val="en-US" w:eastAsia="zh-CN"/>
        </w:rPr>
        <w:t>20</w:t>
      </w:r>
      <w:r>
        <w:rPr>
          <w:rFonts w:hint="eastAsia" w:ascii="仿宋_GB2312" w:hAnsi="宋体" w:eastAsia="仿宋_GB2312" w:cs="ˎ̥"/>
          <w:color w:val="000000"/>
          <w:sz w:val="32"/>
          <w:szCs w:val="32"/>
        </w:rPr>
        <w:t>年12月</w:t>
      </w:r>
      <w:r>
        <w:rPr>
          <w:rFonts w:hint="eastAsia" w:ascii="仿宋_GB2312" w:hAnsi="宋体" w:eastAsia="仿宋_GB2312" w:cs="ˎ̥"/>
          <w:color w:val="000000"/>
          <w:sz w:val="32"/>
          <w:szCs w:val="32"/>
          <w:lang w:val="en-US" w:eastAsia="zh-CN"/>
        </w:rPr>
        <w:t>31</w:t>
      </w:r>
      <w:r>
        <w:rPr>
          <w:rFonts w:hint="eastAsia" w:ascii="仿宋_GB2312" w:hAnsi="宋体" w:eastAsia="仿宋_GB2312" w:cs="ˎ̥"/>
          <w:color w:val="000000"/>
          <w:sz w:val="32"/>
          <w:szCs w:val="32"/>
        </w:rPr>
        <w:t>日</w:t>
      </w:r>
      <w:r>
        <w:rPr>
          <w:rFonts w:hint="eastAsia" w:ascii="仿宋_GB2312" w:hAnsi="宋体" w:eastAsia="仿宋_GB2312" w:cs="宋体"/>
          <w:color w:val="000000"/>
          <w:kern w:val="0"/>
          <w:sz w:val="32"/>
          <w:szCs w:val="32"/>
        </w:rPr>
        <w:t>）</w:t>
      </w:r>
      <w:r>
        <w:rPr>
          <w:rFonts w:hint="eastAsia" w:ascii="Times New Roman" w:hAnsi="Times New Roman" w:eastAsia="仿宋_GB2312" w:cs="Times New Roman"/>
          <w:b w:val="0"/>
          <w:bCs w:val="0"/>
          <w:snapToGrid w:val="0"/>
          <w:kern w:val="0"/>
          <w:sz w:val="32"/>
          <w:szCs w:val="32"/>
          <w:highlight w:val="none"/>
          <w:lang w:val="en-US" w:eastAsia="zh-CN"/>
        </w:rPr>
        <w:t>。</w:t>
      </w:r>
    </w:p>
    <w:p>
      <w:pPr>
        <w:keepNext w:val="0"/>
        <w:keepLines w:val="0"/>
        <w:pageBreakBefore w:val="0"/>
        <w:kinsoku/>
        <w:wordWrap/>
        <w:overflowPunct/>
        <w:topLinePunct w:val="0"/>
        <w:autoSpaceDE/>
        <w:bidi w:val="0"/>
        <w:spacing w:line="580" w:lineRule="exact"/>
        <w:ind w:firstLine="480" w:firstLineChars="15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rPr>
        <w:t>（一）</w:t>
      </w:r>
      <w:r>
        <w:rPr>
          <w:rFonts w:hint="eastAsia" w:ascii="楷体" w:hAnsi="楷体" w:eastAsia="楷体" w:cs="楷体"/>
          <w:color w:val="000000"/>
          <w:sz w:val="32"/>
          <w:szCs w:val="32"/>
          <w:lang w:eastAsia="zh-CN"/>
        </w:rPr>
        <w:t>聚焦责任落实，确保工作有效推进</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宋体" w:eastAsia="仿宋_GB2312"/>
          <w:color w:val="000000"/>
          <w:sz w:val="32"/>
          <w:szCs w:val="32"/>
        </w:rPr>
      </w:pPr>
      <w:r>
        <w:rPr>
          <w:rFonts w:hint="eastAsia" w:ascii="仿宋_GB2312" w:hAnsi="??" w:eastAsia="仿宋_GB2312" w:cs="宋体"/>
          <w:color w:val="000000"/>
          <w:kern w:val="0"/>
          <w:sz w:val="32"/>
          <w:szCs w:val="32"/>
          <w:lang w:eastAsia="zh-CN"/>
        </w:rPr>
        <w:t>中心高度重视政府信息公开工作，中心领导班子切实落实意识形态工作责任制。</w:t>
      </w:r>
      <w:r>
        <w:rPr>
          <w:rFonts w:hint="eastAsia" w:ascii="仿宋_GB2312" w:hAnsi="??" w:eastAsia="仿宋_GB2312" w:cs="宋体"/>
          <w:color w:val="000000"/>
          <w:kern w:val="0"/>
          <w:sz w:val="32"/>
          <w:szCs w:val="32"/>
        </w:rPr>
        <w:t>认真贯彻实施《条例》的要求，结合我</w:t>
      </w:r>
      <w:r>
        <w:rPr>
          <w:rFonts w:hint="eastAsia" w:ascii="仿宋_GB2312" w:hAnsi="??" w:eastAsia="仿宋_GB2312" w:cs="宋体"/>
          <w:color w:val="000000"/>
          <w:kern w:val="0"/>
          <w:sz w:val="32"/>
          <w:szCs w:val="32"/>
          <w:lang w:eastAsia="zh-CN"/>
        </w:rPr>
        <w:t>中心</w:t>
      </w:r>
      <w:r>
        <w:rPr>
          <w:rFonts w:hint="eastAsia" w:ascii="仿宋_GB2312" w:hAnsi="??" w:eastAsia="仿宋_GB2312" w:cs="宋体"/>
          <w:color w:val="000000"/>
          <w:kern w:val="0"/>
          <w:sz w:val="32"/>
          <w:szCs w:val="32"/>
        </w:rPr>
        <w:t>工作实际，</w:t>
      </w:r>
      <w:r>
        <w:rPr>
          <w:rFonts w:hint="eastAsia" w:ascii="仿宋_GB2312" w:hAnsi="微软雅黑" w:eastAsia="仿宋_GB2312"/>
          <w:color w:val="000000"/>
          <w:sz w:val="32"/>
          <w:szCs w:val="32"/>
          <w:shd w:val="clear" w:color="auto" w:fill="FFFFFF"/>
        </w:rPr>
        <w:t>由政务公开领导小组对</w:t>
      </w:r>
      <w:r>
        <w:rPr>
          <w:rFonts w:hint="eastAsia" w:ascii="仿宋_GB2312" w:hAnsi="微软雅黑" w:eastAsia="仿宋_GB2312"/>
          <w:color w:val="000000"/>
          <w:sz w:val="32"/>
          <w:szCs w:val="32"/>
          <w:shd w:val="clear" w:color="auto" w:fill="FFFFFF"/>
          <w:lang w:eastAsia="zh-CN"/>
        </w:rPr>
        <w:t>中心</w:t>
      </w:r>
      <w:r>
        <w:rPr>
          <w:rFonts w:hint="eastAsia" w:ascii="仿宋_GB2312" w:hAnsi="微软雅黑" w:eastAsia="仿宋_GB2312"/>
          <w:color w:val="000000"/>
          <w:sz w:val="32"/>
          <w:szCs w:val="32"/>
          <w:shd w:val="clear" w:color="auto" w:fill="FFFFFF"/>
        </w:rPr>
        <w:t>政务公开工作进行</w:t>
      </w:r>
      <w:r>
        <w:rPr>
          <w:rFonts w:hint="eastAsia" w:ascii="仿宋_GB2312" w:hAnsi="宋体" w:eastAsia="仿宋_GB2312"/>
          <w:color w:val="000000"/>
          <w:sz w:val="32"/>
          <w:szCs w:val="32"/>
        </w:rPr>
        <w:t>研究部署和协调指挥</w:t>
      </w:r>
      <w:r>
        <w:rPr>
          <w:rFonts w:hint="eastAsia" w:ascii="仿宋_GB2312" w:hAnsi="宋体" w:eastAsia="仿宋_GB2312"/>
          <w:color w:val="000000"/>
          <w:sz w:val="32"/>
          <w:szCs w:val="32"/>
          <w:lang w:eastAsia="zh-CN"/>
        </w:rPr>
        <w:t>，确保政务公开工作有力有效推进。</w:t>
      </w:r>
      <w:r>
        <w:rPr>
          <w:rFonts w:hint="eastAsia" w:ascii="仿宋_GB2312" w:hAnsi="微软雅黑" w:eastAsia="仿宋_GB2312"/>
          <w:color w:val="000000"/>
          <w:sz w:val="32"/>
          <w:szCs w:val="32"/>
          <w:shd w:val="clear" w:color="auto" w:fill="FFFFFF"/>
        </w:rPr>
        <w:t>领导小组下设办公室，具体负责政务公开的日常工作。办公室设在</w:t>
      </w:r>
      <w:r>
        <w:rPr>
          <w:rFonts w:hint="eastAsia" w:ascii="仿宋_GB2312" w:hAnsi="微软雅黑" w:eastAsia="仿宋_GB2312"/>
          <w:color w:val="000000"/>
          <w:sz w:val="32"/>
          <w:szCs w:val="32"/>
          <w:shd w:val="clear" w:color="auto" w:fill="FFFFFF"/>
          <w:lang w:eastAsia="zh-CN"/>
        </w:rPr>
        <w:t>中心</w:t>
      </w:r>
      <w:r>
        <w:rPr>
          <w:rFonts w:hint="eastAsia" w:ascii="仿宋_GB2312" w:hAnsi="微软雅黑" w:eastAsia="仿宋_GB2312"/>
          <w:color w:val="000000"/>
          <w:sz w:val="32"/>
          <w:szCs w:val="32"/>
          <w:shd w:val="clear" w:color="auto" w:fill="FFFFFF"/>
        </w:rPr>
        <w:t>办公室，</w:t>
      </w:r>
      <w:r>
        <w:rPr>
          <w:rFonts w:hint="eastAsia" w:ascii="仿宋_GB2312" w:hAnsi="宋体" w:eastAsia="仿宋_GB2312"/>
          <w:color w:val="000000"/>
          <w:sz w:val="32"/>
          <w:szCs w:val="32"/>
        </w:rPr>
        <w:t>配备专人负责政务公开，收集、整理和发送各类政务信息。</w:t>
      </w:r>
      <w:r>
        <w:rPr>
          <w:rFonts w:hint="eastAsia" w:ascii="仿宋_GB2312" w:hAnsi="宋体" w:eastAsia="仿宋_GB2312"/>
          <w:color w:val="000000"/>
          <w:sz w:val="32"/>
          <w:szCs w:val="32"/>
          <w:lang w:eastAsia="zh-CN"/>
        </w:rPr>
        <w:t>在工作中，强化“一把手挂帅、分管领导具体抓、责任到科室、任务到人头”的工作机制</w:t>
      </w:r>
      <w:r>
        <w:rPr>
          <w:rFonts w:hint="eastAsia" w:ascii="仿宋_GB2312" w:hAnsi="宋体" w:eastAsia="仿宋_GB2312"/>
          <w:color w:val="000000"/>
          <w:sz w:val="32"/>
          <w:szCs w:val="32"/>
        </w:rPr>
        <w:t>，形成上下联动、整体推进的工作体系，确保政务信息公开各项工作</w:t>
      </w:r>
      <w:r>
        <w:rPr>
          <w:rFonts w:hint="eastAsia" w:ascii="仿宋_GB2312" w:hAnsi="微软雅黑" w:eastAsia="仿宋_GB2312"/>
          <w:color w:val="000000"/>
          <w:sz w:val="32"/>
          <w:szCs w:val="32"/>
          <w:shd w:val="clear" w:color="auto" w:fill="FFFFFF"/>
        </w:rPr>
        <w:t>责任到人，层层落实。</w:t>
      </w:r>
    </w:p>
    <w:p>
      <w:pPr>
        <w:keepNext w:val="0"/>
        <w:keepLines w:val="0"/>
        <w:pageBreakBefore w:val="0"/>
        <w:shd w:val="clear" w:color="auto" w:fill="FFFFFF"/>
        <w:kinsoku/>
        <w:wordWrap/>
        <w:overflowPunct/>
        <w:topLinePunct w:val="0"/>
        <w:autoSpaceDE/>
        <w:bidi w:val="0"/>
        <w:spacing w:line="580" w:lineRule="exact"/>
        <w:ind w:firstLine="480" w:firstLineChars="150"/>
        <w:textAlignment w:val="auto"/>
        <w:rPr>
          <w:rFonts w:hint="eastAsia" w:ascii="楷体" w:hAnsi="楷体" w:eastAsia="楷体" w:cs="楷体"/>
          <w:color w:val="000000"/>
          <w:kern w:val="0"/>
          <w:sz w:val="32"/>
          <w:szCs w:val="32"/>
          <w:lang w:eastAsia="zh-CN"/>
        </w:rPr>
      </w:pPr>
      <w:r>
        <w:rPr>
          <w:rFonts w:hint="eastAsia" w:ascii="楷体" w:hAnsi="楷体" w:eastAsia="楷体" w:cs="楷体"/>
          <w:color w:val="000000"/>
          <w:sz w:val="32"/>
          <w:szCs w:val="32"/>
          <w:shd w:val="solid" w:color="FFFFFF" w:fill="auto"/>
        </w:rPr>
        <w:t>（二）</w:t>
      </w:r>
      <w:r>
        <w:rPr>
          <w:rFonts w:hint="eastAsia" w:ascii="楷体" w:hAnsi="楷体" w:eastAsia="楷体" w:cs="楷体"/>
          <w:color w:val="000000"/>
          <w:kern w:val="0"/>
          <w:sz w:val="32"/>
          <w:szCs w:val="32"/>
          <w:lang w:eastAsia="zh-CN"/>
        </w:rPr>
        <w:t>聚焦信息发布，完善公开审查机制</w:t>
      </w:r>
    </w:p>
    <w:p>
      <w:pPr>
        <w:keepNext w:val="0"/>
        <w:keepLines w:val="0"/>
        <w:pageBreakBefore w:val="0"/>
        <w:widowControl/>
        <w:shd w:val="clear" w:color="auto" w:fill="FFFFFF"/>
        <w:kinsoku/>
        <w:wordWrap/>
        <w:overflowPunct/>
        <w:topLinePunct w:val="0"/>
        <w:autoSpaceDE/>
        <w:bidi w:val="0"/>
        <w:spacing w:line="58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微软雅黑" w:eastAsia="仿宋_GB2312" w:cs="宋体"/>
          <w:color w:val="000000"/>
          <w:kern w:val="0"/>
          <w:sz w:val="32"/>
          <w:szCs w:val="32"/>
        </w:rPr>
        <w:t>坚持 “依法、公开、客观、及时”的原则，及时准确地向社会公开政府信息，全面做好政府信息公开工作</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定期更新工作动态，适时更新政策法规及本单位文件、公告公示、财政信息等内容，方便公众查阅和监督</w:t>
      </w:r>
      <w:r>
        <w:rPr>
          <w:rFonts w:hint="eastAsia" w:ascii="仿宋_GB2312" w:hAnsi="微软雅黑" w:eastAsia="仿宋_GB2312" w:cs="宋体"/>
          <w:color w:val="000000"/>
          <w:kern w:val="0"/>
          <w:sz w:val="32"/>
          <w:szCs w:val="32"/>
          <w:lang w:eastAsia="zh-CN"/>
        </w:rPr>
        <w:t>。中心根据日常工作进展，</w:t>
      </w:r>
      <w:r>
        <w:rPr>
          <w:rFonts w:hint="eastAsia" w:ascii="仿宋_GB2312" w:hAnsi="微软雅黑" w:eastAsia="仿宋_GB2312" w:cs="宋体"/>
          <w:color w:val="000000"/>
          <w:kern w:val="0"/>
          <w:sz w:val="32"/>
          <w:szCs w:val="32"/>
        </w:rPr>
        <w:t>依托网站、政务双微、工作简报，多渠道</w:t>
      </w:r>
      <w:r>
        <w:rPr>
          <w:rFonts w:hint="eastAsia" w:ascii="仿宋_GB2312" w:hAnsi="微软雅黑" w:eastAsia="仿宋_GB2312" w:cs="宋体"/>
          <w:color w:val="000000"/>
          <w:kern w:val="0"/>
          <w:sz w:val="32"/>
          <w:szCs w:val="32"/>
          <w:lang w:eastAsia="zh-CN"/>
        </w:rPr>
        <w:t>发布重要招商引资信息和我市招商项目信息</w:t>
      </w:r>
      <w:r>
        <w:rPr>
          <w:rFonts w:hint="eastAsia" w:ascii="仿宋_GB2312" w:hAnsi="微软雅黑" w:eastAsia="仿宋_GB2312" w:cs="宋体"/>
          <w:color w:val="000000"/>
          <w:kern w:val="0"/>
          <w:sz w:val="32"/>
          <w:szCs w:val="32"/>
        </w:rPr>
        <w:t>，促进政府公开工作规范透明</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所有公开的信息都经过科室负责人和分管领导审核后方可发布，大大增强了政府信息发布的准确性和权威。同时明确</w:t>
      </w:r>
      <w:r>
        <w:rPr>
          <w:rFonts w:hint="eastAsia" w:ascii="仿宋_GB2312" w:hAnsi="宋体" w:eastAsia="仿宋_GB2312"/>
          <w:color w:val="000000"/>
          <w:sz w:val="32"/>
          <w:szCs w:val="32"/>
        </w:rPr>
        <w:t>信息发布保密审查</w:t>
      </w:r>
      <w:r>
        <w:rPr>
          <w:rFonts w:hint="eastAsia" w:ascii="仿宋_GB2312" w:hAnsi="宋体" w:eastAsia="仿宋_GB2312"/>
          <w:color w:val="000000"/>
          <w:sz w:val="32"/>
          <w:szCs w:val="32"/>
          <w:lang w:eastAsia="zh-CN"/>
        </w:rPr>
        <w:t>程序和责任，严防涉密信息外传，</w:t>
      </w:r>
      <w:r>
        <w:rPr>
          <w:rFonts w:hint="eastAsia" w:ascii="仿宋_GB2312" w:hAnsi="宋体" w:eastAsia="仿宋_GB2312"/>
          <w:color w:val="000000"/>
          <w:sz w:val="32"/>
          <w:szCs w:val="32"/>
        </w:rPr>
        <w:t>确保</w:t>
      </w:r>
      <w:r>
        <w:rPr>
          <w:rFonts w:hint="eastAsia" w:ascii="仿宋_GB2312" w:hAnsi="宋体" w:eastAsia="仿宋_GB2312"/>
          <w:color w:val="000000"/>
          <w:sz w:val="32"/>
          <w:szCs w:val="32"/>
          <w:lang w:eastAsia="zh-CN"/>
        </w:rPr>
        <w:t>政务</w:t>
      </w:r>
      <w:r>
        <w:rPr>
          <w:rFonts w:hint="eastAsia" w:ascii="仿宋_GB2312" w:hAnsi="宋体" w:eastAsia="仿宋_GB2312"/>
          <w:color w:val="000000"/>
          <w:sz w:val="32"/>
          <w:szCs w:val="32"/>
        </w:rPr>
        <w:t>公开工作运行正常</w:t>
      </w:r>
      <w:r>
        <w:rPr>
          <w:rFonts w:hint="eastAsia" w:ascii="仿宋_GB2312" w:hAnsi="宋体" w:eastAsia="仿宋_GB2312"/>
          <w:color w:val="000000"/>
          <w:sz w:val="32"/>
          <w:szCs w:val="32"/>
          <w:lang w:eastAsia="zh-CN"/>
        </w:rPr>
        <w:t>。</w:t>
      </w:r>
    </w:p>
    <w:p>
      <w:pPr>
        <w:keepNext w:val="0"/>
        <w:keepLines w:val="0"/>
        <w:pageBreakBefore w:val="0"/>
        <w:widowControl/>
        <w:shd w:val="clear" w:color="auto" w:fill="FFFFFF"/>
        <w:kinsoku/>
        <w:wordWrap/>
        <w:overflowPunct/>
        <w:topLinePunct w:val="0"/>
        <w:autoSpaceDE/>
        <w:bidi w:val="0"/>
        <w:spacing w:line="580" w:lineRule="exact"/>
        <w:ind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（三）</w:t>
      </w:r>
      <w:r>
        <w:rPr>
          <w:rFonts w:hint="eastAsia" w:ascii="楷体" w:hAnsi="楷体" w:eastAsia="楷体" w:cs="楷体"/>
          <w:color w:val="000000"/>
          <w:sz w:val="32"/>
          <w:szCs w:val="32"/>
          <w:lang w:eastAsia="zh-CN"/>
        </w:rPr>
        <w:t>聚焦热点问题</w:t>
      </w: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加强宣传解读回应</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仿宋_GB2312" w:hAnsi="宋体" w:eastAsia="仿宋_GB2312"/>
          <w:color w:val="000000"/>
          <w:sz w:val="32"/>
          <w:szCs w:val="32"/>
        </w:rPr>
        <w:t>坚持做好疫情防控常态化下疫情信息发布工作。密切关注涉及疫情的舆情动态，针对相关舆情热点问题，快速反应，正面回应</w:t>
      </w:r>
      <w:r>
        <w:rPr>
          <w:rFonts w:hint="eastAsia" w:ascii="仿宋_GB2312" w:hAnsi="宋体" w:eastAsia="仿宋_GB2312"/>
          <w:color w:val="000000"/>
          <w:sz w:val="32"/>
          <w:szCs w:val="32"/>
          <w:lang w:eastAsia="zh-CN"/>
        </w:rPr>
        <w:t>。大力加强公共卫生知识日常普及工作，张贴公筷公勺标语，提高公众在新冠肺炎疫情防控过程中养成好习惯好做法。同时做好“稳外资”相关政策解读。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主动公开政府信息情况</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微软雅黑" w:eastAsia="仿宋_GB2312" w:cs="宋体"/>
          <w:color w:val="000000"/>
          <w:kern w:val="0"/>
          <w:sz w:val="32"/>
          <w:szCs w:val="32"/>
          <w:highlight w:val="none"/>
        </w:rPr>
      </w:pPr>
      <w:r>
        <w:rPr>
          <w:rFonts w:hint="eastAsia" w:ascii="仿宋_GB2312" w:hAnsi="微软雅黑" w:eastAsia="仿宋_GB2312" w:cs="宋体"/>
          <w:color w:val="000000"/>
          <w:kern w:val="0"/>
          <w:sz w:val="32"/>
          <w:szCs w:val="32"/>
          <w:highlight w:val="none"/>
        </w:rPr>
        <w:t>市招商中心为余姚市人民政府直属事业单位，无法定或其他部门授予、委托的行政权力，因而无行政处罚、行政强制权力及相应信息。</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微软雅黑" w:eastAsia="仿宋_GB2312" w:cs="宋体"/>
          <w:color w:val="000000"/>
          <w:kern w:val="0"/>
          <w:sz w:val="32"/>
          <w:szCs w:val="32"/>
          <w:highlight w:val="none"/>
          <w:lang w:val="en-US" w:eastAsia="zh-CN"/>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2"/>
        <w:gridCol w:w="2083"/>
        <w:gridCol w:w="126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本年新制作数量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本年新公开数量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规章</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规范性文件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行政许可</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其他对外管理服务事项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行政处罚</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行政强制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行政事业性收费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bookmarkStart w:id="1" w:name="_GoBack"/>
            <w:bookmarkEnd w:id="1"/>
            <w:r>
              <w:rPr>
                <w:rFonts w:hint="eastAsia" w:ascii="Times New Roman" w:hAnsi="Times New Roman" w:eastAsia="仿宋_GB2312" w:cs="Times New Roman"/>
                <w:b w:val="0"/>
                <w:bCs w:val="0"/>
                <w:snapToGrid w:val="0"/>
                <w:kern w:val="0"/>
                <w:sz w:val="24"/>
                <w:szCs w:val="24"/>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政府集中采购</w:t>
            </w:r>
          </w:p>
        </w:tc>
        <w:tc>
          <w:tcPr>
            <w:tcW w:w="2083" w:type="dxa"/>
            <w:tcMar>
              <w:left w:w="108" w:type="dxa"/>
              <w:right w:w="108" w:type="dxa"/>
            </w:tcMar>
            <w:vAlign w:val="center"/>
          </w:tcPr>
          <w:p>
            <w:pPr>
              <w:spacing w:line="400" w:lineRule="exact"/>
              <w:jc w:val="center"/>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仿宋_GB2312" w:hAnsi="仿宋_GB2312" w:eastAsia="仿宋_GB2312" w:cs="Times New Roman"/>
                <w:sz w:val="24"/>
                <w:szCs w:val="24"/>
                <w:lang w:val="en-US" w:eastAsia="zh-CN"/>
              </w:rPr>
              <w:t>18</w:t>
            </w:r>
          </w:p>
        </w:tc>
        <w:tc>
          <w:tcPr>
            <w:tcW w:w="3157" w:type="dxa"/>
            <w:gridSpan w:val="2"/>
            <w:tcMar>
              <w:left w:w="108" w:type="dxa"/>
              <w:right w:w="108" w:type="dxa"/>
            </w:tcMar>
            <w:vAlign w:val="center"/>
          </w:tcPr>
          <w:p>
            <w:pPr>
              <w:spacing w:line="400" w:lineRule="exact"/>
              <w:jc w:val="center"/>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仿宋_GB2312" w:hAnsi="仿宋_GB2312" w:eastAsia="仿宋_GB2312" w:cs="Times New Roman"/>
                <w:sz w:val="24"/>
                <w:szCs w:val="24"/>
                <w:lang w:val="en-US" w:eastAsia="zh-CN"/>
              </w:rPr>
              <w:t>264517元</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公开平台建设和信息发布情况</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bl>
      <w:tblPr>
        <w:tblStyle w:val="7"/>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bookmarkStart w:id="0" w:name="_Hlk26876326"/>
            <w:r>
              <w:rPr>
                <w:rFonts w:hint="eastAsia" w:ascii="Times New Roman" w:hAnsi="Times New Roman" w:eastAsia="仿宋_GB2312" w:cs="Times New Roman"/>
                <w:b w:val="0"/>
                <w:bCs w:val="0"/>
                <w:snapToGrid w:val="0"/>
                <w:kern w:val="0"/>
                <w:sz w:val="24"/>
                <w:szCs w:val="24"/>
                <w:highlight w:val="none"/>
                <w:lang w:val="en-US" w:eastAsia="zh-CN"/>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（一）主动公开政府信息数</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207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（三）回应公众关注热点或重大舆情数</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bookmarkEnd w:id="0"/>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四、收到和处理政府信息公开申请情况</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2020年，市招商中心未收到自然人、法人或其他组织的政府信息公开申请。</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8"/>
        <w:gridCol w:w="1096"/>
        <w:gridCol w:w="1363"/>
        <w:gridCol w:w="696"/>
        <w:gridCol w:w="696"/>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（本列数据的勾稽关系为：第一项加第二项之和，等于第三项加第四项之和）</w:t>
            </w:r>
          </w:p>
        </w:tc>
        <w:tc>
          <w:tcPr>
            <w:tcW w:w="4873" w:type="dxa"/>
            <w:gridSpan w:val="7"/>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自然人</w:t>
            </w:r>
          </w:p>
        </w:tc>
        <w:tc>
          <w:tcPr>
            <w:tcW w:w="348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法人或其他组织</w:t>
            </w:r>
          </w:p>
        </w:tc>
        <w:tc>
          <w:tcPr>
            <w:tcW w:w="69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商业企业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科研机构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社会公益组织</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法律服务机构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w:t>
            </w:r>
          </w:p>
        </w:tc>
        <w:tc>
          <w:tcPr>
            <w:tcW w:w="69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一、本年新收政府信息公开申请数量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二、上年结转政府信息公开申请数量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三、本年度办理结果</w:t>
            </w: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（一）予以公开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（二）部分公开（区分处理的，只计这一情形，不计其他情形）</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（三）不予公开</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1.属于国家秘密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2.其他法律行政法规禁止公开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3.危及“三安全一稳定”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4.保护第三方合法权益</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5.属于三类内部事务信息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6.属于四类过程性信息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7.属于行政执法案卷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8.属于行政查询事项</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（四）无法提供</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1.本机关不掌握相关政府信息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2.没有现成信息需要另行制作</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3.补正后申请内容仍不明确</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（五）不予处理</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1.信访举报投诉类申请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3.要求提供公开出版物</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4.无正当理由大量反复申请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5.要求行政机关确认或重新出具已获取信息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（六）其他处理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（七）总计</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四、结转下年度继续办理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黑体" w:hAnsi="黑体" w:eastAsia="黑体" w:cs="黑体"/>
          <w:b w:val="0"/>
          <w:bCs w:val="0"/>
          <w:snapToGrid w:val="0"/>
          <w:kern w:val="0"/>
          <w:sz w:val="32"/>
          <w:szCs w:val="32"/>
          <w:highlight w:val="none"/>
          <w:lang w:val="en-US" w:eastAsia="zh-CN"/>
        </w:rPr>
        <w:t>五、政府信息公开行政复议、行政诉讼情况</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0"/>
        <w:gridCol w:w="580"/>
        <w:gridCol w:w="580"/>
        <w:gridCol w:w="580"/>
        <w:gridCol w:w="580"/>
        <w:gridCol w:w="580"/>
        <w:gridCol w:w="580"/>
        <w:gridCol w:w="580"/>
        <w:gridCol w:w="580"/>
        <w:gridCol w:w="580"/>
        <w:gridCol w:w="580"/>
        <w:gridCol w:w="581"/>
        <w:gridCol w:w="581"/>
        <w:gridCol w:w="581"/>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行政复议</w:t>
            </w:r>
          </w:p>
        </w:tc>
        <w:tc>
          <w:tcPr>
            <w:tcW w:w="5622" w:type="dxa"/>
            <w:gridSpan w:val="1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3840" w:firstLineChars="16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维持</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未经复议直接起诉</w:t>
            </w:r>
          </w:p>
        </w:tc>
        <w:tc>
          <w:tcPr>
            <w:tcW w:w="2722"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结果维持</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 果</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 持</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 正</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六、存在的主要问题及改进情况</w:t>
      </w:r>
    </w:p>
    <w:p>
      <w:pPr>
        <w:keepNext w:val="0"/>
        <w:keepLines w:val="0"/>
        <w:pageBreakBefore w:val="0"/>
        <w:kinsoku/>
        <w:wordWrap/>
        <w:overflowPunct/>
        <w:topLinePunct w:val="0"/>
        <w:autoSpaceDE/>
        <w:bidi w:val="0"/>
        <w:spacing w:line="580" w:lineRule="exact"/>
        <w:ind w:firstLine="601"/>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eastAsia="zh-CN"/>
        </w:rPr>
        <w:t>市招商中心</w:t>
      </w:r>
      <w:r>
        <w:rPr>
          <w:rFonts w:hint="eastAsia" w:ascii="仿宋_GB2312" w:hAnsi="宋体" w:eastAsia="仿宋_GB2312"/>
          <w:color w:val="000000"/>
          <w:sz w:val="32"/>
          <w:szCs w:val="32"/>
        </w:rPr>
        <w:t>信息公开工作</w:t>
      </w:r>
      <w:r>
        <w:rPr>
          <w:rFonts w:hint="eastAsia" w:ascii="仿宋_GB2312" w:hAnsi="宋体" w:eastAsia="仿宋_GB2312"/>
          <w:color w:val="000000"/>
          <w:sz w:val="32"/>
          <w:szCs w:val="32"/>
          <w:lang w:eastAsia="zh-CN"/>
        </w:rPr>
        <w:t>取得了一定的成绩</w:t>
      </w:r>
      <w:r>
        <w:rPr>
          <w:rFonts w:hint="eastAsia" w:ascii="仿宋_GB2312" w:hAnsi="宋体" w:eastAsia="仿宋_GB2312"/>
          <w:color w:val="000000"/>
          <w:sz w:val="32"/>
          <w:szCs w:val="32"/>
        </w:rPr>
        <w:t>，但仍有一些不足</w:t>
      </w:r>
      <w:r>
        <w:rPr>
          <w:rFonts w:hint="eastAsia" w:ascii="仿宋_GB2312" w:hAnsi="宋体" w:eastAsia="仿宋_GB2312"/>
          <w:color w:val="000000"/>
          <w:sz w:val="32"/>
          <w:szCs w:val="32"/>
          <w:lang w:eastAsia="zh-CN"/>
        </w:rPr>
        <w:t>，如在市政府网站中关于我市</w:t>
      </w:r>
      <w:r>
        <w:rPr>
          <w:rFonts w:hint="eastAsia" w:ascii="仿宋_GB2312" w:hAnsi="宋体" w:eastAsia="仿宋_GB2312"/>
          <w:color w:val="000000"/>
          <w:sz w:val="32"/>
          <w:szCs w:val="32"/>
        </w:rPr>
        <w:t>投资环境、优惠政策等内容介绍</w:t>
      </w:r>
      <w:r>
        <w:rPr>
          <w:rFonts w:hint="eastAsia" w:ascii="仿宋_GB2312" w:hAnsi="宋体" w:eastAsia="仿宋_GB2312"/>
          <w:color w:val="000000"/>
          <w:sz w:val="32"/>
          <w:szCs w:val="32"/>
          <w:lang w:eastAsia="zh-CN"/>
        </w:rPr>
        <w:t>还</w:t>
      </w:r>
      <w:r>
        <w:rPr>
          <w:rFonts w:hint="eastAsia" w:ascii="仿宋_GB2312" w:hAnsi="宋体" w:eastAsia="仿宋_GB2312"/>
          <w:color w:val="000000"/>
          <w:sz w:val="32"/>
          <w:szCs w:val="32"/>
        </w:rPr>
        <w:t>不</w:t>
      </w:r>
      <w:r>
        <w:rPr>
          <w:rFonts w:hint="eastAsia" w:ascii="仿宋_GB2312" w:hAnsi="宋体" w:eastAsia="仿宋_GB2312"/>
          <w:color w:val="000000"/>
          <w:sz w:val="32"/>
          <w:szCs w:val="32"/>
          <w:lang w:eastAsia="zh-CN"/>
        </w:rPr>
        <w:t>够</w:t>
      </w:r>
      <w:r>
        <w:rPr>
          <w:rFonts w:hint="eastAsia" w:ascii="仿宋_GB2312" w:hAnsi="宋体" w:eastAsia="仿宋_GB2312"/>
          <w:color w:val="000000"/>
          <w:sz w:val="32"/>
          <w:szCs w:val="32"/>
        </w:rPr>
        <w:t>充分；政务公开工作的质量和效率</w:t>
      </w:r>
      <w:r>
        <w:rPr>
          <w:rFonts w:hint="eastAsia" w:ascii="仿宋_GB2312" w:hAnsi="宋体" w:eastAsia="仿宋_GB2312"/>
          <w:color w:val="000000"/>
          <w:sz w:val="32"/>
          <w:szCs w:val="32"/>
          <w:lang w:eastAsia="zh-CN"/>
        </w:rPr>
        <w:t>还有待提高。</w:t>
      </w:r>
    </w:p>
    <w:p>
      <w:pPr>
        <w:keepNext w:val="0"/>
        <w:keepLines w:val="0"/>
        <w:pageBreakBefore w:val="0"/>
        <w:kinsoku/>
        <w:wordWrap/>
        <w:overflowPunct/>
        <w:topLinePunct w:val="0"/>
        <w:autoSpaceDE/>
        <w:bidi w:val="0"/>
        <w:spacing w:line="580" w:lineRule="exact"/>
        <w:ind w:firstLine="601"/>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eastAsia="zh-CN"/>
        </w:rPr>
        <w:t>市招商中心</w:t>
      </w:r>
      <w:r>
        <w:rPr>
          <w:rFonts w:hint="eastAsia" w:ascii="仿宋_GB2312" w:hAnsi="宋体" w:eastAsia="仿宋_GB2312"/>
          <w:color w:val="000000"/>
          <w:sz w:val="32"/>
          <w:szCs w:val="32"/>
        </w:rPr>
        <w:t>将严格按照</w:t>
      </w:r>
      <w:r>
        <w:rPr>
          <w:rFonts w:hint="eastAsia" w:ascii="仿宋_GB2312" w:hAnsi="宋体" w:eastAsia="仿宋_GB2312"/>
          <w:color w:val="000000"/>
          <w:sz w:val="32"/>
          <w:szCs w:val="32"/>
          <w:lang w:eastAsia="zh-CN"/>
        </w:rPr>
        <w:t>市</w:t>
      </w:r>
      <w:r>
        <w:rPr>
          <w:rFonts w:hint="eastAsia" w:ascii="仿宋_GB2312" w:hAnsi="宋体" w:eastAsia="仿宋_GB2312"/>
          <w:color w:val="000000"/>
          <w:sz w:val="32"/>
          <w:szCs w:val="32"/>
        </w:rPr>
        <w:t>政府的部署要求，认真分析，深入细致地调查研究，积极</w:t>
      </w:r>
      <w:r>
        <w:rPr>
          <w:rFonts w:hint="eastAsia" w:ascii="仿宋_GB2312" w:hAnsi="宋体" w:eastAsia="仿宋_GB2312"/>
          <w:color w:val="000000"/>
          <w:sz w:val="32"/>
          <w:szCs w:val="32"/>
          <w:lang w:eastAsia="zh-CN"/>
        </w:rPr>
        <w:t>借鉴</w:t>
      </w:r>
      <w:r>
        <w:rPr>
          <w:rFonts w:hint="eastAsia" w:ascii="仿宋_GB2312" w:hAnsi="宋体" w:eastAsia="仿宋_GB2312"/>
          <w:color w:val="000000"/>
          <w:sz w:val="32"/>
          <w:szCs w:val="32"/>
        </w:rPr>
        <w:t>其它</w:t>
      </w:r>
      <w:r>
        <w:rPr>
          <w:rFonts w:hint="eastAsia" w:ascii="仿宋_GB2312" w:hAnsi="宋体" w:eastAsia="仿宋_GB2312"/>
          <w:color w:val="000000"/>
          <w:sz w:val="32"/>
          <w:szCs w:val="32"/>
          <w:lang w:eastAsia="zh-CN"/>
        </w:rPr>
        <w:t>单位</w:t>
      </w:r>
      <w:r>
        <w:rPr>
          <w:rFonts w:hint="eastAsia" w:ascii="仿宋_GB2312" w:hAnsi="宋体" w:eastAsia="仿宋_GB2312"/>
          <w:color w:val="000000"/>
          <w:sz w:val="32"/>
          <w:szCs w:val="32"/>
        </w:rPr>
        <w:t>的经验</w:t>
      </w:r>
      <w:r>
        <w:rPr>
          <w:rFonts w:hint="eastAsia" w:ascii="仿宋_GB2312" w:hAnsi="宋体" w:eastAsia="仿宋_GB2312"/>
          <w:color w:val="000000"/>
          <w:sz w:val="32"/>
          <w:szCs w:val="32"/>
          <w:lang w:eastAsia="zh-CN"/>
        </w:rPr>
        <w:t>做法</w:t>
      </w:r>
      <w:r>
        <w:rPr>
          <w:rFonts w:hint="eastAsia" w:ascii="仿宋_GB2312" w:hAnsi="宋体" w:eastAsia="仿宋_GB2312"/>
          <w:color w:val="000000"/>
          <w:sz w:val="32"/>
          <w:szCs w:val="32"/>
        </w:rPr>
        <w:t>，进一步扩充公开内容、完善公开手段、深化公开效果，健全完善工作机制、监督机制、考评机制，保证政务公开工作真正纳入经常化、制度化、规范化的轨道，努力建设廉政、勤政、高效、创新、务实、人民满意的政府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七、其他需要报告的事项</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无。</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余姚市人民政府招商中心</w:t>
      </w:r>
    </w:p>
    <w:p>
      <w:pPr>
        <w:keepNext w:val="0"/>
        <w:keepLines w:val="0"/>
        <w:pageBreakBefore w:val="0"/>
        <w:numPr>
          <w:ilvl w:val="0"/>
          <w:numId w:val="0"/>
        </w:numPr>
        <w:kinsoku/>
        <w:wordWrap/>
        <w:overflowPunct/>
        <w:topLinePunct w:val="0"/>
        <w:autoSpaceDE/>
        <w:bidi w:val="0"/>
        <w:spacing w:line="580" w:lineRule="exact"/>
        <w:ind w:firstLine="5446" w:firstLineChars="1702"/>
        <w:textAlignment w:val="auto"/>
        <w:rPr>
          <w:rFonts w:hint="eastAsia" w:ascii="仿宋_GB2312" w:eastAsia="仿宋_GB2312"/>
          <w:color w:val="000000"/>
          <w:sz w:val="32"/>
          <w:szCs w:val="32"/>
          <w:highlight w:val="none"/>
          <w:shd w:val="clear" w:color="auto" w:fill="FFFFFF"/>
          <w:lang w:val="en-US" w:eastAsia="zh-CN"/>
        </w:rPr>
      </w:pPr>
      <w:r>
        <w:rPr>
          <w:rFonts w:hint="eastAsia" w:ascii="仿宋_GB2312" w:eastAsia="仿宋_GB2312"/>
          <w:color w:val="000000"/>
          <w:sz w:val="32"/>
          <w:szCs w:val="32"/>
          <w:highlight w:val="none"/>
          <w:shd w:val="clear" w:color="auto" w:fill="FFFFFF"/>
          <w:lang w:val="en-US" w:eastAsia="zh-CN"/>
        </w:rPr>
        <w:t>2021年1月25日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58FE0"/>
    <w:multiLevelType w:val="singleLevel"/>
    <w:tmpl w:val="78D58F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850EB"/>
    <w:rsid w:val="01EB7DBC"/>
    <w:rsid w:val="02F05117"/>
    <w:rsid w:val="0809485A"/>
    <w:rsid w:val="14A77607"/>
    <w:rsid w:val="19815563"/>
    <w:rsid w:val="2B5F61B4"/>
    <w:rsid w:val="2D6B1EBC"/>
    <w:rsid w:val="429850EB"/>
    <w:rsid w:val="438D338E"/>
    <w:rsid w:val="445C6F0B"/>
    <w:rsid w:val="4F303D75"/>
    <w:rsid w:val="520F04B4"/>
    <w:rsid w:val="55C41E67"/>
    <w:rsid w:val="572F7579"/>
    <w:rsid w:val="5F5A0731"/>
    <w:rsid w:val="68987313"/>
    <w:rsid w:val="70D9545B"/>
    <w:rsid w:val="780E4945"/>
    <w:rsid w:val="7F1A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2020-02-25T01:56:00Z</dcterms:created>
  <dc:creator>Administrator</dc:creator>
  <cp:lastModifiedBy>匿名用户</cp:lastModifiedBy>
  <dcterms:modified xsi:type="dcterms:W3CDTF">2021-01-25T07:24:13Z</dcterms:modified>
  <dc:title>余姚市人民政府招商中心2019年度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