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jc w:val="center"/>
        <w:rPr>
          <w:rFonts w:ascii="黑体" w:hAnsi="黑体" w:eastAsia="黑体" w:cs="黑体"/>
          <w:sz w:val="44"/>
          <w:szCs w:val="44"/>
        </w:rPr>
      </w:pPr>
      <w:r>
        <w:rPr>
          <w:rFonts w:hint="eastAsia" w:ascii="黑体" w:hAnsi="黑体" w:eastAsia="黑体" w:cs="黑体"/>
          <w:sz w:val="44"/>
          <w:szCs w:val="44"/>
        </w:rPr>
        <w:t>余姚市人民政府</w:t>
      </w:r>
    </w:p>
    <w:p>
      <w:pPr>
        <w:pStyle w:val="5"/>
        <w:widowControl/>
        <w:spacing w:beforeAutospacing="0" w:afterAutospacing="0"/>
        <w:jc w:val="center"/>
        <w:rPr>
          <w:rFonts w:ascii="仿宋" w:hAnsi="仿宋" w:eastAsia="仿宋" w:cs="仿宋"/>
        </w:rPr>
      </w:pPr>
      <w:r>
        <w:rPr>
          <w:rFonts w:hint="eastAsia" w:ascii="黑体" w:hAnsi="黑体" w:eastAsia="黑体" w:cs="黑体"/>
          <w:sz w:val="44"/>
          <w:szCs w:val="44"/>
        </w:rPr>
        <w:t>2019年政府信息公开工作年度报告</w:t>
      </w:r>
    </w:p>
    <w:p>
      <w:pPr>
        <w:pStyle w:val="5"/>
        <w:widowControl/>
        <w:spacing w:beforeAutospacing="0" w:afterAutospacing="0"/>
        <w:ind w:firstLine="960" w:firstLineChars="300"/>
        <w:rPr>
          <w:rFonts w:ascii="仿宋" w:hAnsi="仿宋" w:eastAsia="仿宋" w:cs="仿宋"/>
          <w:sz w:val="32"/>
          <w:szCs w:val="32"/>
        </w:rPr>
      </w:pPr>
    </w:p>
    <w:p>
      <w:pPr>
        <w:pStyle w:val="5"/>
        <w:widowControl/>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2019年，余姚市积极执行省委省政府和宁波市委市政府有关政务公开工作要求，以建设法治政府、服务型政府和“阳光政府”为目标，扎实落实《中华人民共和国政府信息公开条例》及国办、省办、市办《2019年政务公开工作要点》等一系列政策文件要求，进一步推进决策、执行、管理、服务、结果“五公开”，并同步做好政策解读、热点回应、公众参与等工作，公开程序不断规范，公开渠道进一步拓展，公开内容更加丰富，政务公开工作呈现上下联动、平稳运行、整体推进的良好态势，人民群众的获得感得到增强。具体工作如下：</w:t>
      </w:r>
    </w:p>
    <w:p>
      <w:pPr>
        <w:pStyle w:val="5"/>
        <w:widowControl/>
        <w:spacing w:beforeAutospacing="0" w:afterAutospacing="0"/>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pStyle w:val="5"/>
        <w:widowControl/>
        <w:spacing w:beforeAutospacing="0" w:afterAutospacing="0"/>
        <w:ind w:firstLine="624" w:firstLineChars="200"/>
        <w:rPr>
          <w:rFonts w:ascii="仿宋_GB2312" w:hAnsi="仿宋_GB2312" w:eastAsia="仿宋_GB2312" w:cs="仿宋_GB2312"/>
          <w:bCs/>
          <w:snapToGrid w:val="0"/>
          <w:spacing w:val="-4"/>
          <w:sz w:val="32"/>
          <w:szCs w:val="32"/>
        </w:rPr>
      </w:pPr>
      <w:r>
        <w:rPr>
          <w:rFonts w:hint="eastAsia" w:ascii="仿宋_GB2312" w:hAnsi="仿宋_GB2312" w:eastAsia="仿宋_GB2312" w:cs="仿宋_GB2312"/>
          <w:bCs/>
          <w:snapToGrid w:val="0"/>
          <w:spacing w:val="-4"/>
          <w:sz w:val="32"/>
          <w:szCs w:val="32"/>
        </w:rPr>
        <w:t>2019年，我市通过不同渠道和方式共公开政府信息48857条，增长12.1%，其中政府信息公开平台14107条，增长20.7%。</w:t>
      </w:r>
      <w:r>
        <w:rPr>
          <w:rFonts w:hint="eastAsia" w:ascii="仿宋_GB2312" w:eastAsia="仿宋_GB2312"/>
          <w:snapToGrid w:val="0"/>
          <w:spacing w:val="-4"/>
          <w:sz w:val="32"/>
          <w:szCs w:val="32"/>
        </w:rPr>
        <w:t>“余姚发布”政务微博、微信分别公开信息2421条和1239条。举办新闻发布共3次，政府网站在线访谈6次，</w:t>
      </w:r>
      <w:r>
        <w:rPr>
          <w:rFonts w:hint="eastAsia" w:ascii="仿宋_GB2312" w:hAnsi="仿宋_GB2312" w:eastAsia="仿宋_GB2312" w:cs="仿宋_GB2312"/>
          <w:bCs/>
          <w:snapToGrid w:val="0"/>
          <w:spacing w:val="-4"/>
          <w:sz w:val="32"/>
          <w:szCs w:val="32"/>
        </w:rPr>
        <w:t>全年共图解各类文件101篇,制作政府公报12期，公开重要政策文件150余条，向全市各地各部门、村（社区）、企业免费发放《余姚政务》杂志1900份。全市共收到依申请公开224件，行政复议2件，无行政诉讼。</w:t>
      </w:r>
    </w:p>
    <w:p>
      <w:pPr>
        <w:pStyle w:val="5"/>
        <w:widowControl/>
        <w:spacing w:beforeAutospacing="0" w:afterAutospacing="0"/>
        <w:ind w:firstLine="643" w:firstLineChars="200"/>
        <w:rPr>
          <w:rFonts w:ascii="仿宋_GB2312" w:eastAsia="仿宋_GB2312"/>
          <w:snapToGrid w:val="0"/>
          <w:spacing w:val="-4"/>
          <w:sz w:val="32"/>
          <w:szCs w:val="32"/>
        </w:rPr>
      </w:pPr>
      <w:r>
        <w:rPr>
          <w:rFonts w:hint="eastAsia" w:ascii="楷体" w:hAnsi="楷体" w:eastAsia="楷体" w:cs="楷体"/>
          <w:b/>
          <w:bCs/>
          <w:sz w:val="32"/>
          <w:szCs w:val="32"/>
        </w:rPr>
        <w:t>（一）建章立制，公开程序进一步规范。</w:t>
      </w:r>
      <w:r>
        <w:rPr>
          <w:rFonts w:hint="eastAsia" w:ascii="仿宋_GB2312" w:eastAsia="仿宋_GB2312"/>
          <w:snapToGrid w:val="0"/>
          <w:spacing w:val="-4"/>
          <w:sz w:val="32"/>
          <w:szCs w:val="32"/>
        </w:rPr>
        <w:t>为确保政府信息公开有法可依，有规可循，我市先后制定出台《余姚市政府信息公开前进行审查的规定》《余姚市关于违反政府信息公开规定行为的责任追究规定》《余姚市人民政府办公室关于进一步做好政府信息公开工作的通知》等政策体系，建立规范了学习培训、考核表彰、保密审查、责任追究等工作制度。今年，新制定《余姚市政府信息依申请公开办理规定》、《政府公开工作资料汇编》等。每年一次对全市政务公开工作负责人和业务人员进行集中培训，不断拓展政务公开工作人员视野，提升工作水平。将政务公开考核单独纳入全市目标管理考核体系，考核比重部门由1分提高至1.5分，乡镇街道由0.5分提高至1分。</w:t>
      </w:r>
    </w:p>
    <w:p>
      <w:pPr>
        <w:pStyle w:val="5"/>
        <w:widowControl/>
        <w:spacing w:beforeAutospacing="0" w:afterAutospacing="0"/>
        <w:ind w:firstLine="643" w:firstLineChars="200"/>
        <w:rPr>
          <w:rFonts w:ascii="仿宋_GB2312" w:eastAsia="仿宋_GB2312"/>
          <w:snapToGrid w:val="0"/>
          <w:spacing w:val="-4"/>
          <w:sz w:val="32"/>
          <w:szCs w:val="32"/>
        </w:rPr>
      </w:pPr>
      <w:r>
        <w:rPr>
          <w:rFonts w:hint="eastAsia" w:ascii="楷体" w:hAnsi="楷体" w:eastAsia="楷体" w:cs="楷体"/>
          <w:b/>
          <w:bCs/>
          <w:sz w:val="32"/>
          <w:szCs w:val="32"/>
        </w:rPr>
        <w:t>（二）创新载体，公开渠道进一步拓展。</w:t>
      </w:r>
      <w:r>
        <w:rPr>
          <w:rFonts w:hint="eastAsia" w:ascii="仿宋_GB2312" w:eastAsia="仿宋_GB2312"/>
          <w:snapToGrid w:val="0"/>
          <w:spacing w:val="-4"/>
          <w:sz w:val="32"/>
          <w:szCs w:val="32"/>
        </w:rPr>
        <w:t>顺应互联网时代发展趋势，以建设多渠道、多角度、广覆盖的公开载体为目标，不断加大投入，创新公开载体，努力为公众查询获知政府信息提供更加方便快捷的服务。强化政府网站主平台功能。调整优化公开目录和栏目设置，按主题、机构和服务对象三种属性进行分类，更加方便公众查询检索。着力提高政府公报影响力。通过提高办刊水平、优化赠阅结构，充分发挥市政府公报在公开政务方面的功能。目前公报《余姚政务》已完成了数字化上网工程。提高政府新闻发布会实效。精心打造余姚政务发布“双微”平台，“双微”平台涵盖重大事件信息发布、互动交流以及重大活动微博直播等内容，进一步提升了公众对政府信息公开的知晓度、参与度和满意度。至目前，微博粉丝数量超过9.1万，微信总用户数已超过6.6万。</w:t>
      </w:r>
    </w:p>
    <w:p>
      <w:pPr>
        <w:pStyle w:val="5"/>
        <w:widowControl/>
        <w:spacing w:beforeAutospacing="0" w:afterAutospacing="0"/>
        <w:ind w:firstLine="643" w:firstLineChars="200"/>
        <w:rPr>
          <w:rFonts w:hint="eastAsia" w:ascii="仿宋_GB2312" w:eastAsia="仿宋_GB2312"/>
          <w:snapToGrid w:val="0"/>
          <w:spacing w:val="-4"/>
          <w:sz w:val="32"/>
          <w:szCs w:val="32"/>
        </w:rPr>
      </w:pPr>
      <w:r>
        <w:rPr>
          <w:rFonts w:hint="eastAsia" w:ascii="楷体" w:hAnsi="楷体" w:eastAsia="楷体" w:cs="楷体"/>
          <w:b/>
          <w:bCs/>
          <w:sz w:val="32"/>
          <w:szCs w:val="32"/>
        </w:rPr>
        <w:t>（三）依法公开，公开内容进一步增加。</w:t>
      </w:r>
      <w:r>
        <w:rPr>
          <w:rFonts w:hint="eastAsia" w:ascii="仿宋_GB2312" w:eastAsia="仿宋_GB2312"/>
          <w:snapToGrid w:val="0"/>
          <w:spacing w:val="-4"/>
          <w:sz w:val="32"/>
          <w:szCs w:val="32"/>
        </w:rPr>
        <w:t>对新制作或新获取的政府信息，依法依规及时公开，尤其对关系群众切身利益和社会公众关心的热点问题，做到准确迅速主动公开。其中突出抓好重点领域公开深度。将国务院明确的年度信息公开重点领域作为主动公开的重中之重，在网络平台首页醒目位置专门设置了行政审批、财政预决算、“三公”经费、环境保护、安全生产、住房保障等重点公开领域专栏，并与各责任部门门户网站实时链接。截至目前，市级部门对公民、法人和其他组织权力义务产生直接影响的行政审批权力事项相关信息已全部在政务服务网上公开。</w:t>
      </w:r>
    </w:p>
    <w:p>
      <w:pPr>
        <w:pStyle w:val="5"/>
        <w:widowControl/>
        <w:spacing w:beforeAutospacing="0" w:afterAutospacing="0"/>
        <w:ind w:firstLine="627" w:firstLineChars="200"/>
        <w:rPr>
          <w:rFonts w:hint="eastAsia" w:ascii="楷体" w:hAnsi="楷体" w:eastAsia="楷体" w:cs="楷体"/>
          <w:b/>
          <w:bCs/>
          <w:snapToGrid w:val="0"/>
          <w:spacing w:val="-4"/>
          <w:sz w:val="32"/>
          <w:szCs w:val="32"/>
          <w:lang w:eastAsia="zh-CN"/>
        </w:rPr>
      </w:pPr>
      <w:r>
        <w:rPr>
          <w:rFonts w:hint="eastAsia" w:ascii="楷体" w:hAnsi="楷体" w:eastAsia="楷体" w:cs="楷体"/>
          <w:b/>
          <w:bCs/>
          <w:snapToGrid w:val="0"/>
          <w:spacing w:val="-4"/>
          <w:sz w:val="32"/>
          <w:szCs w:val="32"/>
          <w:lang w:eastAsia="zh-CN"/>
        </w:rPr>
        <w:t>四、加强信息公开监督保障。</w:t>
      </w:r>
      <w:bookmarkStart w:id="1" w:name="_GoBack"/>
      <w:r>
        <w:rPr>
          <w:rFonts w:hint="eastAsia" w:ascii="仿宋" w:hAnsi="仿宋" w:eastAsia="仿宋" w:cs="仿宋"/>
          <w:b w:val="0"/>
          <w:bCs w:val="0"/>
          <w:snapToGrid w:val="0"/>
          <w:spacing w:val="-4"/>
          <w:sz w:val="32"/>
          <w:szCs w:val="32"/>
          <w:lang w:eastAsia="zh-CN"/>
        </w:rPr>
        <w:t>加强全市政府网站和政务新媒体的常态监管工作，开展日常监管和季度巡查，及时发现整改问题，保障全市政府网站和政务新媒体稳定、可靠、安全运行。印发《余姚市人民政府办公室关于印发2019年余姚市政务公开工作要点的通知》（余政办发〔2019〕59号），制发《余姚市人民政府办公室关于开展2019年度政务公开工作自查自评的通知》（市府办便笺〔2019〕84号）。每季度按照国务院政府网站与政务新媒体检查指标要求发布《余姚市政府政务公开季度监测分报告》。举办全市政务公开工作培训班，开展全市政务公开典型案例交流。建设网站普查平台，安排专人进行审核政府信息公开平台每日新增信息的发布及时性、格式规范性，并对栏目更新情况进行常态化监测，对不符合要求的进行通报。聘请律师对全市依申请工作进行监督指导。</w:t>
      </w:r>
      <w:bookmarkEnd w:id="1"/>
    </w:p>
    <w:p>
      <w:pPr>
        <w:pStyle w:val="5"/>
        <w:widowControl/>
        <w:spacing w:beforeAutospacing="0" w:afterAutospacing="0"/>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p>
      <w:pPr>
        <w:pStyle w:val="5"/>
        <w:widowControl/>
        <w:spacing w:beforeAutospacing="0" w:afterAutospacing="0"/>
        <w:ind w:firstLine="624" w:firstLineChars="200"/>
        <w:rPr>
          <w:rFonts w:ascii="仿宋_GB2312" w:eastAsia="仿宋_GB2312"/>
          <w:snapToGrid w:val="0"/>
          <w:spacing w:val="-4"/>
          <w:sz w:val="32"/>
          <w:szCs w:val="32"/>
        </w:rPr>
      </w:pPr>
      <w:r>
        <w:rPr>
          <w:rFonts w:hint="eastAsia" w:ascii="仿宋_GB2312" w:eastAsia="仿宋_GB2312"/>
          <w:snapToGrid w:val="0"/>
          <w:spacing w:val="-4"/>
          <w:sz w:val="32"/>
          <w:szCs w:val="32"/>
        </w:rPr>
        <w:t>2019年，我市通过余姚市政府信息公开平台主动公开文件14107件。其中，主动公开规范性文件14件，并同步进行了图解、解读。</w:t>
      </w:r>
    </w:p>
    <w:p>
      <w:pPr>
        <w:pStyle w:val="5"/>
        <w:widowControl/>
        <w:spacing w:beforeAutospacing="0" w:afterAutospacing="0"/>
        <w:ind w:firstLine="643" w:firstLineChars="200"/>
        <w:rPr>
          <w:rFonts w:ascii="仿宋_GB2312" w:eastAsia="仿宋_GB2312"/>
          <w:snapToGrid w:val="0"/>
          <w:spacing w:val="-4"/>
          <w:sz w:val="32"/>
          <w:szCs w:val="32"/>
        </w:rPr>
      </w:pPr>
      <w:r>
        <w:rPr>
          <w:rFonts w:hint="eastAsia" w:ascii="楷体" w:hAnsi="楷体" w:eastAsia="楷体" w:cs="楷体"/>
          <w:b/>
          <w:bCs/>
          <w:sz w:val="32"/>
          <w:szCs w:val="32"/>
        </w:rPr>
        <w:t>（一）全过程推进政务公开。</w:t>
      </w:r>
      <w:r>
        <w:rPr>
          <w:rFonts w:hint="eastAsia" w:ascii="仿宋_GB2312" w:eastAsia="仿宋_GB2312"/>
          <w:snapToGrid w:val="0"/>
          <w:spacing w:val="-4"/>
          <w:sz w:val="32"/>
          <w:szCs w:val="32"/>
        </w:rPr>
        <w:t>始终坚持以公开为常态，不公开为例外，全过程推进政务公开。推进决策、执行、管理、服务、结果等行政权力运行全过程公开，让权力在阳光下运行，权力运行到哪里，公开就跟进到哪里，做到政务公开覆盖权力运行全流程、政务服务全过程。</w:t>
      </w:r>
    </w:p>
    <w:p>
      <w:pPr>
        <w:pStyle w:val="5"/>
        <w:widowControl/>
        <w:spacing w:beforeAutospacing="0" w:afterAutospacing="0"/>
        <w:ind w:firstLine="643" w:firstLineChars="200"/>
        <w:rPr>
          <w:rFonts w:ascii="仿宋_GB2312" w:eastAsia="仿宋_GB2312"/>
          <w:snapToGrid w:val="0"/>
          <w:spacing w:val="-4"/>
          <w:sz w:val="32"/>
          <w:szCs w:val="32"/>
        </w:rPr>
      </w:pPr>
      <w:r>
        <w:rPr>
          <w:rFonts w:hint="eastAsia" w:ascii="楷体" w:hAnsi="楷体" w:eastAsia="楷体" w:cs="楷体"/>
          <w:b/>
          <w:bCs/>
          <w:sz w:val="32"/>
          <w:szCs w:val="32"/>
        </w:rPr>
        <w:t>（二）全方位回应社会关切。</w:t>
      </w:r>
      <w:r>
        <w:rPr>
          <w:rFonts w:hint="eastAsia" w:ascii="仿宋_GB2312" w:eastAsia="仿宋_GB2312"/>
          <w:snapToGrid w:val="0"/>
          <w:spacing w:val="-4"/>
          <w:sz w:val="32"/>
          <w:szCs w:val="32"/>
        </w:rPr>
        <w:t>充分利用各类社会风险向网络空间传导的趋势日益明显的现状，进一步提高互联网思维和舆情应对意识，进一步加强政府决策前后、管理服务当中公众参与程度，在决策前预案公示、听证论证，决策中公众意见采纳吸收，决策后政策解读、舆情监测、评估跟踪、应对处置等环节全方位主动回应社会关切，引导社会舆情，凝聚社会共识，弘扬正能量。</w:t>
      </w:r>
    </w:p>
    <w:p>
      <w:pPr>
        <w:pStyle w:val="5"/>
        <w:widowControl/>
        <w:spacing w:beforeAutospacing="0" w:afterAutospacing="0"/>
        <w:ind w:firstLine="643" w:firstLineChars="200"/>
        <w:rPr>
          <w:rFonts w:ascii="仿宋_GB2312" w:eastAsia="仿宋_GB2312"/>
          <w:snapToGrid w:val="0"/>
          <w:spacing w:val="-4"/>
          <w:sz w:val="32"/>
          <w:szCs w:val="32"/>
        </w:rPr>
      </w:pPr>
      <w:r>
        <w:rPr>
          <w:rFonts w:hint="eastAsia" w:ascii="楷体" w:hAnsi="楷体" w:eastAsia="楷体" w:cs="楷体"/>
          <w:b/>
          <w:bCs/>
          <w:sz w:val="32"/>
          <w:szCs w:val="32"/>
        </w:rPr>
        <w:t>（三）全环节提升政务公开质量。</w:t>
      </w:r>
      <w:r>
        <w:rPr>
          <w:rFonts w:hint="eastAsia" w:ascii="仿宋_GB2312" w:eastAsia="仿宋_GB2312"/>
          <w:snapToGrid w:val="0"/>
          <w:spacing w:val="-4"/>
          <w:sz w:val="32"/>
          <w:szCs w:val="32"/>
        </w:rPr>
        <w:t>按照国务院2019年政务公开工作要点部署，紧紧围绕这“六个稳”，加大政务公开力度，提高公开内容质量，扩大公开范围，拓展公开渠道，提升政务公开水平。有效引导舆论和稳定市场预期，凝聚共识、提振信心，进一步增强社会各界对党和政府工作的理解和支持。</w:t>
      </w:r>
    </w:p>
    <w:p>
      <w:pPr>
        <w:pStyle w:val="5"/>
        <w:widowControl/>
        <w:spacing w:beforeAutospacing="0" w:afterAutospacing="0"/>
        <w:ind w:firstLine="624" w:firstLineChars="200"/>
        <w:jc w:val="right"/>
        <w:rPr>
          <w:rFonts w:ascii="仿宋_GB2312" w:eastAsia="仿宋_GB2312"/>
          <w:snapToGrid w:val="0"/>
          <w:spacing w:val="-4"/>
          <w:sz w:val="32"/>
          <w:szCs w:val="32"/>
        </w:rPr>
      </w:pPr>
      <w:r>
        <w:rPr>
          <w:rFonts w:hint="eastAsia" w:ascii="仿宋_GB2312" w:eastAsia="仿宋_GB2312"/>
          <w:snapToGrid w:val="0"/>
          <w:spacing w:val="-4"/>
          <w:sz w:val="32"/>
          <w:szCs w:val="32"/>
        </w:rPr>
        <w:t>表一</w:t>
      </w:r>
    </w:p>
    <w:tbl>
      <w:tblPr>
        <w:tblStyle w:val="6"/>
        <w:tblW w:w="845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621"/>
        <w:gridCol w:w="1786"/>
        <w:gridCol w:w="2146"/>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信息内容</w:t>
            </w:r>
          </w:p>
        </w:tc>
        <w:tc>
          <w:tcPr>
            <w:tcW w:w="1786"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本年新制作数量</w:t>
            </w:r>
          </w:p>
        </w:tc>
        <w:tc>
          <w:tcPr>
            <w:tcW w:w="2146"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本年新公开数量</w:t>
            </w:r>
          </w:p>
        </w:tc>
        <w:tc>
          <w:tcPr>
            <w:tcW w:w="19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规章</w:t>
            </w:r>
          </w:p>
        </w:tc>
        <w:tc>
          <w:tcPr>
            <w:tcW w:w="1786"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214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0</w:t>
            </w:r>
          </w:p>
        </w:tc>
        <w:tc>
          <w:tcPr>
            <w:tcW w:w="1903"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规范性文件</w:t>
            </w:r>
          </w:p>
        </w:tc>
        <w:tc>
          <w:tcPr>
            <w:tcW w:w="1786"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14</w:t>
            </w:r>
          </w:p>
        </w:tc>
        <w:tc>
          <w:tcPr>
            <w:tcW w:w="214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14</w:t>
            </w:r>
          </w:p>
        </w:tc>
        <w:tc>
          <w:tcPr>
            <w:tcW w:w="1903"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信息内容</w:t>
            </w:r>
          </w:p>
        </w:tc>
        <w:tc>
          <w:tcPr>
            <w:tcW w:w="1786"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上一年项目数量</w:t>
            </w:r>
          </w:p>
        </w:tc>
        <w:tc>
          <w:tcPr>
            <w:tcW w:w="2146"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本年增/减</w:t>
            </w:r>
          </w:p>
        </w:tc>
        <w:tc>
          <w:tcPr>
            <w:tcW w:w="19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行政许可</w:t>
            </w:r>
          </w:p>
        </w:tc>
        <w:tc>
          <w:tcPr>
            <w:tcW w:w="178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619</w:t>
            </w:r>
          </w:p>
        </w:tc>
        <w:tc>
          <w:tcPr>
            <w:tcW w:w="214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246</w:t>
            </w:r>
          </w:p>
        </w:tc>
        <w:tc>
          <w:tcPr>
            <w:tcW w:w="1903"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482066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其他对外管理服务事项</w:t>
            </w:r>
          </w:p>
        </w:tc>
        <w:tc>
          <w:tcPr>
            <w:tcW w:w="178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452</w:t>
            </w:r>
          </w:p>
        </w:tc>
        <w:tc>
          <w:tcPr>
            <w:tcW w:w="214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197</w:t>
            </w:r>
          </w:p>
        </w:tc>
        <w:tc>
          <w:tcPr>
            <w:tcW w:w="1903"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196094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信息内容</w:t>
            </w:r>
          </w:p>
        </w:tc>
        <w:tc>
          <w:tcPr>
            <w:tcW w:w="1786"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上一年项目数量</w:t>
            </w:r>
          </w:p>
        </w:tc>
        <w:tc>
          <w:tcPr>
            <w:tcW w:w="2146"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本年增/减</w:t>
            </w:r>
          </w:p>
        </w:tc>
        <w:tc>
          <w:tcPr>
            <w:tcW w:w="19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行政处罚</w:t>
            </w:r>
          </w:p>
        </w:tc>
        <w:tc>
          <w:tcPr>
            <w:tcW w:w="178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2914</w:t>
            </w:r>
          </w:p>
        </w:tc>
        <w:tc>
          <w:tcPr>
            <w:tcW w:w="214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121</w:t>
            </w:r>
          </w:p>
        </w:tc>
        <w:tc>
          <w:tcPr>
            <w:tcW w:w="1903"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行政强制</w:t>
            </w:r>
          </w:p>
        </w:tc>
        <w:tc>
          <w:tcPr>
            <w:tcW w:w="178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137</w:t>
            </w:r>
          </w:p>
        </w:tc>
        <w:tc>
          <w:tcPr>
            <w:tcW w:w="2146"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4</w:t>
            </w:r>
          </w:p>
        </w:tc>
        <w:tc>
          <w:tcPr>
            <w:tcW w:w="1903" w:type="dxa"/>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8335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信息内容</w:t>
            </w:r>
          </w:p>
        </w:tc>
        <w:tc>
          <w:tcPr>
            <w:tcW w:w="1786"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上一年项目数量</w:t>
            </w:r>
          </w:p>
        </w:tc>
        <w:tc>
          <w:tcPr>
            <w:tcW w:w="4049" w:type="dxa"/>
            <w:gridSpan w:val="2"/>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行政事业性收费</w:t>
            </w:r>
          </w:p>
        </w:tc>
        <w:tc>
          <w:tcPr>
            <w:tcW w:w="1786"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52</w:t>
            </w:r>
          </w:p>
        </w:tc>
        <w:tc>
          <w:tcPr>
            <w:tcW w:w="4049" w:type="dxa"/>
            <w:gridSpan w:val="2"/>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信息内容</w:t>
            </w:r>
          </w:p>
        </w:tc>
        <w:tc>
          <w:tcPr>
            <w:tcW w:w="1786"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采购项目数量</w:t>
            </w:r>
          </w:p>
        </w:tc>
        <w:tc>
          <w:tcPr>
            <w:tcW w:w="4049" w:type="dxa"/>
            <w:gridSpan w:val="2"/>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5"/>
              <w:widowControl/>
              <w:spacing w:beforeAutospacing="0" w:afterAutospacing="0"/>
              <w:ind w:firstLine="420"/>
              <w:rPr>
                <w:rFonts w:ascii="仿宋" w:hAnsi="仿宋" w:eastAsia="仿宋" w:cs="仿宋"/>
              </w:rPr>
            </w:pPr>
            <w:r>
              <w:rPr>
                <w:rFonts w:hint="eastAsia" w:ascii="仿宋" w:hAnsi="仿宋" w:eastAsia="仿宋" w:cs="仿宋"/>
              </w:rPr>
              <w:t>政府集中采购</w:t>
            </w:r>
          </w:p>
        </w:tc>
        <w:tc>
          <w:tcPr>
            <w:tcW w:w="1786"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38</w:t>
            </w:r>
          </w:p>
        </w:tc>
        <w:tc>
          <w:tcPr>
            <w:tcW w:w="4049" w:type="dxa"/>
            <w:gridSpan w:val="2"/>
            <w:tcBorders>
              <w:tl2br w:val="nil"/>
              <w:tr2bl w:val="nil"/>
            </w:tcBorders>
            <w:shd w:val="clear" w:color="auto" w:fill="auto"/>
            <w:vAlign w:val="center"/>
          </w:tcPr>
          <w:p>
            <w:pPr>
              <w:rPr>
                <w:rFonts w:ascii="仿宋" w:hAnsi="仿宋" w:eastAsia="仿宋" w:cs="仿宋"/>
                <w:sz w:val="24"/>
              </w:rPr>
            </w:pPr>
            <w:r>
              <w:rPr>
                <w:rFonts w:hint="eastAsia" w:ascii="仿宋" w:hAnsi="仿宋" w:eastAsia="仿宋" w:cs="仿宋"/>
                <w:sz w:val="24"/>
              </w:rPr>
              <w:t>78359318.3</w:t>
            </w:r>
          </w:p>
        </w:tc>
      </w:tr>
    </w:tbl>
    <w:p>
      <w:pPr>
        <w:spacing w:line="580" w:lineRule="exact"/>
        <w:ind w:firstLine="600"/>
        <w:rPr>
          <w:rFonts w:ascii="黑体" w:hAnsi="黑体" w:eastAsia="黑体" w:cs="仿宋_GB2312"/>
          <w:sz w:val="32"/>
          <w:szCs w:val="32"/>
        </w:rPr>
      </w:pPr>
      <w:r>
        <w:rPr>
          <w:rFonts w:hint="eastAsia" w:ascii="黑体" w:hAnsi="黑体" w:eastAsia="黑体" w:cs="仿宋_GB2312"/>
          <w:sz w:val="32"/>
          <w:szCs w:val="32"/>
        </w:rPr>
        <w:t>三、公开平台建设和信息发布情况</w:t>
      </w:r>
    </w:p>
    <w:p>
      <w:pPr>
        <w:spacing w:line="580" w:lineRule="exact"/>
        <w:ind w:firstLine="643" w:firstLineChars="200"/>
        <w:rPr>
          <w:rFonts w:ascii="仿宋_GB2312" w:eastAsia="仿宋_GB2312"/>
          <w:sz w:val="32"/>
          <w:szCs w:val="32"/>
        </w:rPr>
      </w:pPr>
      <w:r>
        <w:rPr>
          <w:rFonts w:hint="eastAsia" w:ascii="楷体" w:hAnsi="楷体" w:eastAsia="楷体" w:cs="楷体"/>
          <w:b/>
          <w:bCs/>
          <w:kern w:val="0"/>
          <w:sz w:val="32"/>
          <w:szCs w:val="32"/>
        </w:rPr>
        <w:t>（一）落实重点领域加大主动公开力度。</w:t>
      </w:r>
      <w:r>
        <w:rPr>
          <w:rFonts w:hint="eastAsia" w:ascii="仿宋_GB2312" w:eastAsia="仿宋_GB2312"/>
          <w:sz w:val="32"/>
          <w:szCs w:val="32"/>
        </w:rPr>
        <w:t>根据国务院办公厅、省政府办公厅关于推进《重大建设项目批准和实施领域政府信息公开工作的实施意见》和《公共资源配置领域政府信息公开工作的实施意见》要求，对我市政府信息公开目录予以调整，突出重点领域信息公开。全年共主动公开各类信息1.6万余条，其中涉及到财政预决算、保障性住房、重大建设项目、社会公共资源等重点领域相关信息共7000余条。</w:t>
      </w:r>
    </w:p>
    <w:p>
      <w:pPr>
        <w:spacing w:line="580" w:lineRule="exact"/>
        <w:ind w:firstLine="643" w:firstLineChars="200"/>
        <w:rPr>
          <w:rFonts w:ascii="仿宋_GB2312" w:eastAsia="仿宋_GB2312"/>
          <w:sz w:val="32"/>
          <w:szCs w:val="32"/>
        </w:rPr>
      </w:pPr>
      <w:r>
        <w:rPr>
          <w:rFonts w:hint="eastAsia" w:ascii="楷体" w:hAnsi="楷体" w:eastAsia="楷体" w:cs="楷体"/>
          <w:b/>
          <w:bCs/>
          <w:kern w:val="0"/>
          <w:sz w:val="32"/>
          <w:szCs w:val="32"/>
        </w:rPr>
        <w:t>（二）加强政策文件解读。</w:t>
      </w:r>
      <w:r>
        <w:rPr>
          <w:rFonts w:hint="eastAsia" w:ascii="仿宋_GB2312" w:eastAsia="仿宋_GB2312"/>
          <w:sz w:val="32"/>
          <w:szCs w:val="32"/>
        </w:rPr>
        <w:t>全面梳理已公开的政策文件，落实涉及面广、社会关注度高的政策文件，附带政策解读，并做好相互关联。规范性文件，必须要采用事例、数据、图表图解、音频视频等方式同步做好政策解读工作。全年共图解各类文件101篇。</w:t>
      </w:r>
    </w:p>
    <w:p>
      <w:pPr>
        <w:spacing w:line="580" w:lineRule="exact"/>
        <w:ind w:firstLine="643" w:firstLineChars="200"/>
        <w:rPr>
          <w:rFonts w:ascii="仿宋_GB2312" w:eastAsia="仿宋_GB2312"/>
          <w:sz w:val="32"/>
          <w:szCs w:val="32"/>
        </w:rPr>
      </w:pPr>
      <w:r>
        <w:rPr>
          <w:rFonts w:hint="eastAsia" w:ascii="楷体" w:hAnsi="楷体" w:eastAsia="楷体" w:cs="楷体"/>
          <w:b/>
          <w:bCs/>
          <w:kern w:val="0"/>
          <w:sz w:val="32"/>
          <w:szCs w:val="32"/>
        </w:rPr>
        <w:t>（三）持续开展建议提案办理情况公开。</w:t>
      </w:r>
      <w:r>
        <w:rPr>
          <w:rFonts w:hint="eastAsia" w:ascii="仿宋_GB2312" w:eastAsia="仿宋_GB2312"/>
          <w:sz w:val="32"/>
          <w:szCs w:val="32"/>
        </w:rPr>
        <w:t>按照《国务院办公厅关于做好全国人大代表建议和全国政协委员提案办理结果公开工作的通知》要求，进一步推进人大代表建议和政协委员提案办理结果全文公开工作，全年在政务公开平台公开人大代表建议和政协委员提案282件。</w:t>
      </w:r>
    </w:p>
    <w:p>
      <w:pPr>
        <w:spacing w:line="580" w:lineRule="exact"/>
        <w:ind w:firstLine="643" w:firstLineChars="200"/>
        <w:rPr>
          <w:rFonts w:ascii="仿宋_GB2312" w:eastAsia="仿宋_GB2312"/>
          <w:color w:val="000000"/>
          <w:sz w:val="32"/>
          <w:szCs w:val="32"/>
        </w:rPr>
      </w:pPr>
      <w:r>
        <w:rPr>
          <w:rFonts w:hint="eastAsia" w:ascii="楷体" w:hAnsi="楷体" w:eastAsia="楷体" w:cs="楷体"/>
          <w:b/>
          <w:bCs/>
          <w:kern w:val="0"/>
          <w:sz w:val="32"/>
          <w:szCs w:val="32"/>
        </w:rPr>
        <w:t>（四）积极推进新媒体阵地建设。</w:t>
      </w:r>
      <w:r>
        <w:rPr>
          <w:rFonts w:hint="eastAsia" w:ascii="仿宋_GB2312" w:eastAsia="仿宋_GB2312"/>
          <w:color w:val="000000"/>
          <w:sz w:val="32"/>
          <w:szCs w:val="32"/>
        </w:rPr>
        <w:t>探索具有余姚特色的传统媒体和新兴媒体融合发展的路径，融媒体中心于6月份正式挂牌，建立了“余姚发布”官方微博、微信公众号、抖音短视频平台的政务新媒体矩阵品牌，其中微博话题#点赞余姚#累计阅读量达到1775.2万，网络直播收看人数达326万人次。扩大政务微信、微博矩阵，推进以政务微博、微信、公众号为代表的“微政务”，让群众有序、有效、理性地参与到“微政务”中。2019年，</w:t>
      </w:r>
      <w:r>
        <w:rPr>
          <w:rFonts w:hint="eastAsia" w:ascii="仿宋_GB2312" w:eastAsia="仿宋_GB2312"/>
          <w:snapToGrid w:val="0"/>
          <w:spacing w:val="-4"/>
          <w:sz w:val="32"/>
          <w:szCs w:val="32"/>
        </w:rPr>
        <w:t>“余姚发布”政务微博、微信分别公开信息2421条和1239条。</w:t>
      </w:r>
    </w:p>
    <w:p>
      <w:pPr>
        <w:spacing w:line="58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表二</w:t>
      </w:r>
    </w:p>
    <w:tbl>
      <w:tblPr>
        <w:tblStyle w:val="6"/>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bookmarkStart w:id="0" w:name="_Hlk26876326"/>
            <w:r>
              <w:rPr>
                <w:rFonts w:hint="eastAsia" w:ascii="仿宋" w:hAnsi="仿宋" w:eastAsia="仿宋" w:cs="仿宋"/>
                <w:snapToGrid w:val="0"/>
                <w:spacing w:val="-4"/>
                <w:kern w:val="0"/>
                <w:sz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（一）主动公开政府信息数</w:t>
            </w:r>
          </w:p>
          <w:p>
            <w:pPr>
              <w:widowControl/>
              <w:adjustRightInd w:val="0"/>
              <w:snapToGrid w:val="0"/>
              <w:spacing w:line="580" w:lineRule="exact"/>
              <w:ind w:firstLine="1044" w:firstLineChars="450"/>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14107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157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44975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2421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1239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（三）回应公众关注热点或重大舆情数</w:t>
            </w:r>
          </w:p>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14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center"/>
              <w:rPr>
                <w:rFonts w:ascii="仿宋" w:hAnsi="仿宋" w:eastAsia="仿宋" w:cs="仿宋"/>
                <w:snapToGrid w:val="0"/>
                <w:spacing w:val="-4"/>
                <w:kern w:val="0"/>
                <w:sz w:val="24"/>
              </w:rPr>
            </w:pPr>
            <w:r>
              <w:rPr>
                <w:rFonts w:hint="eastAsia" w:ascii="仿宋" w:hAnsi="仿宋" w:eastAsia="仿宋" w:cs="仿宋"/>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ign w:val="center"/>
          </w:tcPr>
          <w:p>
            <w:pPr>
              <w:widowControl/>
              <w:adjustRightInd w:val="0"/>
              <w:snapToGrid w:val="0"/>
              <w:spacing w:line="580" w:lineRule="exact"/>
              <w:jc w:val="left"/>
              <w:rPr>
                <w:rFonts w:ascii="仿宋" w:hAnsi="仿宋" w:eastAsia="仿宋" w:cs="仿宋"/>
                <w:snapToGrid w:val="0"/>
                <w:spacing w:val="-4"/>
                <w:kern w:val="0"/>
                <w:sz w:val="24"/>
              </w:rPr>
            </w:pPr>
            <w:r>
              <w:rPr>
                <w:rFonts w:hint="eastAsia" w:ascii="仿宋" w:hAnsi="仿宋" w:eastAsia="仿宋" w:cs="仿宋"/>
                <w:snapToGrid w:val="0"/>
                <w:spacing w:val="-4"/>
                <w:kern w:val="0"/>
                <w:sz w:val="24"/>
              </w:rPr>
              <w:t>4</w:t>
            </w:r>
          </w:p>
        </w:tc>
      </w:tr>
      <w:bookmarkEnd w:id="0"/>
    </w:tbl>
    <w:p>
      <w:pPr>
        <w:pStyle w:val="5"/>
        <w:widowControl/>
        <w:spacing w:beforeAutospacing="0" w:afterAutospacing="0"/>
        <w:ind w:firstLine="420"/>
        <w:rPr>
          <w:rFonts w:ascii="黑体" w:hAnsi="黑体" w:eastAsia="黑体" w:cs="黑体"/>
          <w:sz w:val="32"/>
          <w:szCs w:val="32"/>
        </w:rPr>
      </w:pPr>
      <w:r>
        <w:rPr>
          <w:rFonts w:hint="eastAsia" w:ascii="黑体" w:hAnsi="黑体" w:eastAsia="黑体" w:cs="黑体"/>
          <w:sz w:val="32"/>
          <w:szCs w:val="32"/>
        </w:rPr>
        <w:t>四、收到和处理政府信息公开申请情况</w:t>
      </w:r>
    </w:p>
    <w:p>
      <w:pPr>
        <w:pStyle w:val="5"/>
        <w:widowControl/>
        <w:spacing w:beforeAutospacing="0" w:afterAutospacing="0"/>
        <w:ind w:firstLine="640" w:firstLineChars="200"/>
        <w:rPr>
          <w:rFonts w:ascii="仿宋_GB2312" w:eastAsia="仿宋_GB2312" w:cstheme="minorBidi"/>
          <w:color w:val="000000"/>
          <w:kern w:val="2"/>
          <w:sz w:val="32"/>
          <w:szCs w:val="32"/>
        </w:rPr>
      </w:pPr>
      <w:r>
        <w:rPr>
          <w:rFonts w:hint="eastAsia" w:ascii="仿宋_GB2312" w:eastAsia="仿宋_GB2312" w:cstheme="minorBidi"/>
          <w:color w:val="000000"/>
          <w:kern w:val="2"/>
          <w:sz w:val="32"/>
          <w:szCs w:val="32"/>
        </w:rPr>
        <w:t>我市</w:t>
      </w:r>
      <w:r>
        <w:rPr>
          <w:rFonts w:hint="eastAsia" w:ascii="仿宋_GB2312" w:eastAsia="仿宋_GB2312" w:hAnsiTheme="minorHAnsi" w:cstheme="minorBidi"/>
          <w:color w:val="000000"/>
          <w:kern w:val="2"/>
          <w:sz w:val="32"/>
          <w:szCs w:val="32"/>
        </w:rPr>
        <w:t>按照“答复及时，内容完整，格式规范”的要求，依法依规、及时妥善处理政府信息公开申请。本年度，</w:t>
      </w:r>
      <w:r>
        <w:rPr>
          <w:rFonts w:hint="eastAsia" w:ascii="仿宋_GB2312" w:eastAsia="仿宋_GB2312" w:cstheme="minorBidi"/>
          <w:color w:val="000000"/>
          <w:kern w:val="2"/>
          <w:sz w:val="32"/>
          <w:szCs w:val="32"/>
        </w:rPr>
        <w:t>市府办</w:t>
      </w:r>
      <w:r>
        <w:rPr>
          <w:rFonts w:hint="eastAsia" w:ascii="仿宋_GB2312" w:eastAsia="仿宋_GB2312" w:hAnsiTheme="minorHAnsi" w:cstheme="minorBidi"/>
          <w:color w:val="000000"/>
          <w:kern w:val="2"/>
          <w:sz w:val="32"/>
          <w:szCs w:val="32"/>
        </w:rPr>
        <w:t>新收依申请公开</w:t>
      </w:r>
      <w:r>
        <w:rPr>
          <w:rFonts w:hint="eastAsia" w:ascii="仿宋_GB2312" w:eastAsia="仿宋_GB2312" w:cstheme="minorBidi"/>
          <w:color w:val="000000"/>
          <w:kern w:val="2"/>
          <w:sz w:val="32"/>
          <w:szCs w:val="32"/>
        </w:rPr>
        <w:t>224</w:t>
      </w:r>
      <w:r>
        <w:rPr>
          <w:rFonts w:hint="eastAsia" w:ascii="仿宋_GB2312" w:eastAsia="仿宋_GB2312" w:hAnsiTheme="minorHAnsi" w:cstheme="minorBidi"/>
          <w:color w:val="000000"/>
          <w:kern w:val="2"/>
          <w:sz w:val="32"/>
          <w:szCs w:val="32"/>
        </w:rPr>
        <w:t>件。从申请人的情况看，其中</w:t>
      </w:r>
      <w:r>
        <w:rPr>
          <w:rFonts w:hint="eastAsia" w:ascii="仿宋_GB2312" w:eastAsia="仿宋_GB2312" w:cstheme="minorBidi"/>
          <w:color w:val="000000"/>
          <w:kern w:val="2"/>
          <w:sz w:val="32"/>
          <w:szCs w:val="32"/>
        </w:rPr>
        <w:t>208</w:t>
      </w:r>
      <w:r>
        <w:rPr>
          <w:rFonts w:hint="eastAsia" w:ascii="仿宋_GB2312" w:eastAsia="仿宋_GB2312" w:hAnsiTheme="minorHAnsi" w:cstheme="minorBidi"/>
          <w:color w:val="000000"/>
          <w:kern w:val="2"/>
          <w:sz w:val="32"/>
          <w:szCs w:val="32"/>
        </w:rPr>
        <w:t>件是自然人，</w:t>
      </w:r>
      <w:r>
        <w:rPr>
          <w:rFonts w:hint="eastAsia" w:ascii="仿宋_GB2312" w:eastAsia="仿宋_GB2312" w:cstheme="minorBidi"/>
          <w:color w:val="000000"/>
          <w:kern w:val="2"/>
          <w:sz w:val="32"/>
          <w:szCs w:val="32"/>
        </w:rPr>
        <w:t>1</w:t>
      </w:r>
      <w:r>
        <w:rPr>
          <w:rFonts w:hint="eastAsia" w:ascii="仿宋_GB2312" w:eastAsia="仿宋_GB2312" w:hAnsiTheme="minorHAnsi" w:cstheme="minorBidi"/>
          <w:color w:val="000000"/>
          <w:kern w:val="2"/>
          <w:sz w:val="32"/>
          <w:szCs w:val="32"/>
        </w:rPr>
        <w:t>件是商业</w:t>
      </w:r>
      <w:r>
        <w:rPr>
          <w:rFonts w:hint="eastAsia" w:ascii="仿宋_GB2312" w:eastAsia="仿宋_GB2312" w:cstheme="minorBidi"/>
          <w:color w:val="000000"/>
          <w:kern w:val="2"/>
          <w:sz w:val="32"/>
          <w:szCs w:val="32"/>
        </w:rPr>
        <w:t>企业，10件是科研机构，1件是社会公益组织，3件是法律服务机构，其他1件</w:t>
      </w:r>
      <w:r>
        <w:rPr>
          <w:rFonts w:hint="eastAsia" w:ascii="仿宋_GB2312" w:eastAsia="仿宋_GB2312" w:hAnsiTheme="minorHAnsi" w:cstheme="minorBidi"/>
          <w:color w:val="000000"/>
          <w:kern w:val="2"/>
          <w:sz w:val="32"/>
          <w:szCs w:val="32"/>
        </w:rPr>
        <w:t>。从本年度办理结果看，本年度</w:t>
      </w:r>
      <w:r>
        <w:rPr>
          <w:rFonts w:hint="eastAsia" w:ascii="仿宋_GB2312" w:eastAsia="仿宋_GB2312" w:cstheme="minorBidi"/>
          <w:color w:val="000000"/>
          <w:kern w:val="2"/>
          <w:sz w:val="32"/>
          <w:szCs w:val="32"/>
        </w:rPr>
        <w:t>全部</w:t>
      </w:r>
      <w:r>
        <w:rPr>
          <w:rFonts w:hint="eastAsia" w:ascii="仿宋_GB2312" w:eastAsia="仿宋_GB2312" w:hAnsiTheme="minorHAnsi" w:cstheme="minorBidi"/>
          <w:color w:val="000000"/>
          <w:kern w:val="2"/>
          <w:sz w:val="32"/>
          <w:szCs w:val="32"/>
        </w:rPr>
        <w:t>完成了</w:t>
      </w:r>
      <w:r>
        <w:rPr>
          <w:rFonts w:hint="eastAsia" w:ascii="仿宋_GB2312" w:eastAsia="仿宋_GB2312" w:cstheme="minorBidi"/>
          <w:color w:val="000000"/>
          <w:kern w:val="2"/>
          <w:sz w:val="32"/>
          <w:szCs w:val="32"/>
        </w:rPr>
        <w:t>224</w:t>
      </w:r>
      <w:r>
        <w:rPr>
          <w:rFonts w:hint="eastAsia" w:ascii="仿宋_GB2312" w:eastAsia="仿宋_GB2312" w:hAnsiTheme="minorHAnsi" w:cstheme="minorBidi"/>
          <w:color w:val="000000"/>
          <w:kern w:val="2"/>
          <w:sz w:val="32"/>
          <w:szCs w:val="32"/>
        </w:rPr>
        <w:t>件依申请件的答复工作</w:t>
      </w:r>
      <w:r>
        <w:rPr>
          <w:rFonts w:hint="eastAsia" w:ascii="仿宋_GB2312" w:eastAsia="仿宋_GB2312" w:cstheme="minorBidi"/>
          <w:color w:val="000000"/>
          <w:kern w:val="2"/>
          <w:sz w:val="32"/>
          <w:szCs w:val="32"/>
        </w:rPr>
        <w:t>，其</w:t>
      </w:r>
      <w:r>
        <w:rPr>
          <w:rFonts w:hint="eastAsia" w:ascii="仿宋_GB2312" w:eastAsia="仿宋_GB2312" w:hAnsiTheme="minorHAnsi" w:cstheme="minorBidi"/>
          <w:color w:val="000000"/>
          <w:kern w:val="2"/>
          <w:sz w:val="32"/>
          <w:szCs w:val="32"/>
        </w:rPr>
        <w:t>中，予以公开</w:t>
      </w:r>
      <w:r>
        <w:rPr>
          <w:rFonts w:hint="eastAsia" w:ascii="仿宋_GB2312" w:eastAsia="仿宋_GB2312" w:cstheme="minorBidi"/>
          <w:color w:val="000000"/>
          <w:kern w:val="2"/>
          <w:sz w:val="32"/>
          <w:szCs w:val="32"/>
        </w:rPr>
        <w:t>187</w:t>
      </w:r>
      <w:r>
        <w:rPr>
          <w:rFonts w:hint="eastAsia" w:ascii="仿宋_GB2312" w:eastAsia="仿宋_GB2312" w:hAnsiTheme="minorHAnsi" w:cstheme="minorBidi"/>
          <w:color w:val="000000"/>
          <w:kern w:val="2"/>
          <w:sz w:val="32"/>
          <w:szCs w:val="32"/>
        </w:rPr>
        <w:t>件，部分公开6件，不予公开23件，无法提供7件，不予处理1件。本年度，因政府信息公开引起的政府信息公开行政复议2件，无行政诉讼案件</w:t>
      </w:r>
      <w:r>
        <w:rPr>
          <w:rFonts w:hint="eastAsia" w:ascii="仿宋_GB2312" w:eastAsia="仿宋_GB2312" w:cstheme="minorBidi"/>
          <w:color w:val="000000"/>
          <w:kern w:val="2"/>
          <w:sz w:val="32"/>
          <w:szCs w:val="32"/>
        </w:rPr>
        <w:t>。</w:t>
      </w:r>
    </w:p>
    <w:p>
      <w:pPr>
        <w:pStyle w:val="5"/>
        <w:widowControl/>
        <w:spacing w:beforeAutospacing="0" w:afterAutospacing="0"/>
        <w:ind w:firstLine="420"/>
        <w:rPr>
          <w:rFonts w:ascii="仿宋_GB2312" w:eastAsia="仿宋_GB2312" w:hAnsiTheme="minorHAnsi" w:cstheme="minorBidi"/>
          <w:color w:val="000000"/>
          <w:kern w:val="2"/>
          <w:sz w:val="32"/>
          <w:szCs w:val="32"/>
        </w:rPr>
      </w:pPr>
      <w:r>
        <w:rPr>
          <w:rFonts w:hint="eastAsia" w:ascii="仿宋_GB2312" w:eastAsia="仿宋_GB2312" w:cstheme="minorBidi"/>
          <w:color w:val="000000"/>
          <w:kern w:val="2"/>
          <w:sz w:val="32"/>
          <w:szCs w:val="32"/>
        </w:rPr>
        <w:t>（</w:t>
      </w:r>
      <w:r>
        <w:rPr>
          <w:rFonts w:hint="eastAsia" w:ascii="仿宋_GB2312" w:eastAsia="仿宋_GB2312" w:hAnsiTheme="minorHAnsi" w:cstheme="minorBidi"/>
          <w:color w:val="000000"/>
          <w:kern w:val="2"/>
          <w:sz w:val="32"/>
          <w:szCs w:val="32"/>
        </w:rPr>
        <w:t>一</w:t>
      </w:r>
      <w:r>
        <w:rPr>
          <w:rFonts w:hint="eastAsia" w:ascii="仿宋_GB2312" w:eastAsia="仿宋_GB2312" w:cstheme="minorBidi"/>
          <w:color w:val="000000"/>
          <w:kern w:val="2"/>
          <w:sz w:val="32"/>
          <w:szCs w:val="32"/>
        </w:rPr>
        <w:t>）</w:t>
      </w:r>
      <w:r>
        <w:rPr>
          <w:rFonts w:hint="eastAsia" w:ascii="仿宋_GB2312" w:eastAsia="仿宋_GB2312" w:hAnsiTheme="minorHAnsi" w:cstheme="minorBidi"/>
          <w:color w:val="000000"/>
          <w:kern w:val="2"/>
          <w:sz w:val="32"/>
          <w:szCs w:val="32"/>
        </w:rPr>
        <w:t>紧跟国务院新条例，制定《</w:t>
      </w:r>
      <w:r>
        <w:rPr>
          <w:rFonts w:hint="eastAsia" w:ascii="仿宋_GB2312" w:eastAsia="仿宋_GB2312" w:cstheme="minorBidi"/>
          <w:color w:val="000000"/>
          <w:kern w:val="2"/>
          <w:sz w:val="32"/>
          <w:szCs w:val="32"/>
        </w:rPr>
        <w:t>余姚市</w:t>
      </w:r>
      <w:r>
        <w:rPr>
          <w:rFonts w:hint="eastAsia" w:ascii="仿宋_GB2312" w:eastAsia="仿宋_GB2312" w:hAnsiTheme="minorHAnsi" w:cstheme="minorBidi"/>
          <w:color w:val="000000"/>
          <w:kern w:val="2"/>
          <w:sz w:val="32"/>
          <w:szCs w:val="32"/>
        </w:rPr>
        <w:t>政府信息依申请公开办理</w:t>
      </w:r>
      <w:r>
        <w:rPr>
          <w:rFonts w:hint="eastAsia" w:ascii="仿宋_GB2312" w:eastAsia="仿宋_GB2312" w:cstheme="minorBidi"/>
          <w:color w:val="000000"/>
          <w:kern w:val="2"/>
          <w:sz w:val="32"/>
          <w:szCs w:val="32"/>
        </w:rPr>
        <w:t>规定</w:t>
      </w:r>
      <w:r>
        <w:rPr>
          <w:rFonts w:hint="eastAsia" w:ascii="仿宋_GB2312" w:eastAsia="仿宋_GB2312" w:hAnsiTheme="minorHAnsi" w:cstheme="minorBidi"/>
          <w:color w:val="000000"/>
          <w:kern w:val="2"/>
          <w:sz w:val="32"/>
          <w:szCs w:val="32"/>
        </w:rPr>
        <w:t>》，</w:t>
      </w:r>
      <w:r>
        <w:rPr>
          <w:rFonts w:hint="eastAsia" w:ascii="仿宋_GB2312" w:eastAsia="仿宋_GB2312" w:cstheme="minorBidi"/>
          <w:color w:val="000000"/>
          <w:kern w:val="2"/>
          <w:sz w:val="32"/>
          <w:szCs w:val="32"/>
        </w:rPr>
        <w:t>编制《余姚市政务公开工作资料汇编》全市下发，</w:t>
      </w:r>
      <w:r>
        <w:rPr>
          <w:rFonts w:hint="eastAsia" w:ascii="仿宋_GB2312" w:eastAsia="仿宋_GB2312" w:hAnsiTheme="minorHAnsi" w:cstheme="minorBidi"/>
          <w:color w:val="000000"/>
          <w:kern w:val="2"/>
          <w:sz w:val="32"/>
          <w:szCs w:val="32"/>
        </w:rPr>
        <w:t>做好新旧规定的衔接适用，规范我</w:t>
      </w:r>
      <w:r>
        <w:rPr>
          <w:rFonts w:hint="eastAsia" w:ascii="仿宋_GB2312" w:eastAsia="仿宋_GB2312" w:cstheme="minorBidi"/>
          <w:color w:val="000000"/>
          <w:kern w:val="2"/>
          <w:sz w:val="32"/>
          <w:szCs w:val="32"/>
        </w:rPr>
        <w:t>市</w:t>
      </w:r>
      <w:r>
        <w:rPr>
          <w:rFonts w:hint="eastAsia" w:ascii="仿宋_GB2312" w:eastAsia="仿宋_GB2312" w:hAnsiTheme="minorHAnsi" w:cstheme="minorBidi"/>
          <w:color w:val="000000"/>
          <w:kern w:val="2"/>
          <w:sz w:val="32"/>
          <w:szCs w:val="32"/>
        </w:rPr>
        <w:t>政府信息依申请工作内部流程，确保答复内容合法合理，答复格式规范。</w:t>
      </w:r>
    </w:p>
    <w:p>
      <w:pPr>
        <w:pStyle w:val="5"/>
        <w:widowControl/>
        <w:spacing w:beforeAutospacing="0" w:afterAutospacing="0"/>
        <w:ind w:firstLine="420"/>
        <w:rPr>
          <w:rFonts w:ascii="仿宋_GB2312" w:eastAsia="仿宋_GB2312" w:hAnsiTheme="minorHAnsi" w:cstheme="minorBidi"/>
          <w:color w:val="000000"/>
          <w:kern w:val="2"/>
          <w:sz w:val="32"/>
          <w:szCs w:val="32"/>
        </w:rPr>
      </w:pPr>
      <w:r>
        <w:rPr>
          <w:rFonts w:hint="eastAsia" w:ascii="仿宋_GB2312" w:eastAsia="仿宋_GB2312" w:cstheme="minorBidi"/>
          <w:color w:val="000000"/>
          <w:kern w:val="2"/>
          <w:sz w:val="32"/>
          <w:szCs w:val="32"/>
        </w:rPr>
        <w:t>（</w:t>
      </w:r>
      <w:r>
        <w:rPr>
          <w:rFonts w:hint="eastAsia" w:ascii="仿宋_GB2312" w:eastAsia="仿宋_GB2312" w:hAnsiTheme="minorHAnsi" w:cstheme="minorBidi"/>
          <w:color w:val="000000"/>
          <w:kern w:val="2"/>
          <w:sz w:val="32"/>
          <w:szCs w:val="32"/>
        </w:rPr>
        <w:t>二</w:t>
      </w:r>
      <w:r>
        <w:rPr>
          <w:rFonts w:hint="eastAsia" w:ascii="仿宋_GB2312" w:eastAsia="仿宋_GB2312" w:cstheme="minorBidi"/>
          <w:color w:val="000000"/>
          <w:kern w:val="2"/>
          <w:sz w:val="32"/>
          <w:szCs w:val="32"/>
        </w:rPr>
        <w:t>）</w:t>
      </w:r>
      <w:r>
        <w:rPr>
          <w:rFonts w:hint="eastAsia" w:ascii="仿宋_GB2312" w:eastAsia="仿宋_GB2312" w:hAnsiTheme="minorHAnsi" w:cstheme="minorBidi"/>
          <w:color w:val="000000"/>
          <w:kern w:val="2"/>
          <w:sz w:val="32"/>
          <w:szCs w:val="32"/>
        </w:rPr>
        <w:t>畅通政府信息依申请公开渠道，保障群众知情权。目前，我</w:t>
      </w:r>
      <w:r>
        <w:rPr>
          <w:rFonts w:hint="eastAsia" w:ascii="仿宋_GB2312" w:eastAsia="仿宋_GB2312" w:cstheme="minorBidi"/>
          <w:color w:val="000000"/>
          <w:kern w:val="2"/>
          <w:sz w:val="32"/>
          <w:szCs w:val="32"/>
        </w:rPr>
        <w:t>市</w:t>
      </w:r>
      <w:r>
        <w:rPr>
          <w:rFonts w:hint="eastAsia" w:ascii="仿宋_GB2312" w:eastAsia="仿宋_GB2312" w:hAnsiTheme="minorHAnsi" w:cstheme="minorBidi"/>
          <w:color w:val="000000"/>
          <w:kern w:val="2"/>
          <w:sz w:val="32"/>
          <w:szCs w:val="32"/>
        </w:rPr>
        <w:t>的行政机关都已经开通线上申请和线下申请渠道，线上申请集中在我</w:t>
      </w:r>
      <w:r>
        <w:rPr>
          <w:rFonts w:hint="eastAsia" w:ascii="仿宋_GB2312" w:eastAsia="仿宋_GB2312" w:cstheme="minorBidi"/>
          <w:color w:val="000000"/>
          <w:kern w:val="2"/>
          <w:sz w:val="32"/>
          <w:szCs w:val="32"/>
        </w:rPr>
        <w:t>市</w:t>
      </w:r>
      <w:r>
        <w:rPr>
          <w:rFonts w:hint="eastAsia" w:ascii="仿宋_GB2312" w:eastAsia="仿宋_GB2312" w:hAnsiTheme="minorHAnsi" w:cstheme="minorBidi"/>
          <w:color w:val="000000"/>
          <w:kern w:val="2"/>
          <w:sz w:val="32"/>
          <w:szCs w:val="32"/>
        </w:rPr>
        <w:t>门户网站依申请公开栏目，线下申请也通过更新的政府信息公开指南，对公众作了相关说明提示，方便公众依法提出申请。</w:t>
      </w:r>
    </w:p>
    <w:p>
      <w:pPr>
        <w:pStyle w:val="5"/>
        <w:widowControl/>
        <w:spacing w:beforeAutospacing="0" w:afterAutospacing="0"/>
        <w:ind w:firstLine="420"/>
        <w:rPr>
          <w:rFonts w:ascii="仿宋_GB2312" w:eastAsia="仿宋_GB2312" w:hAnsiTheme="minorHAnsi" w:cstheme="minorBidi"/>
          <w:color w:val="000000"/>
          <w:kern w:val="2"/>
          <w:sz w:val="32"/>
          <w:szCs w:val="32"/>
        </w:rPr>
      </w:pPr>
      <w:r>
        <w:rPr>
          <w:rFonts w:hint="eastAsia" w:ascii="仿宋_GB2312" w:eastAsia="仿宋_GB2312" w:cstheme="minorBidi"/>
          <w:color w:val="000000"/>
          <w:kern w:val="2"/>
          <w:sz w:val="32"/>
          <w:szCs w:val="32"/>
        </w:rPr>
        <w:t>（</w:t>
      </w:r>
      <w:r>
        <w:rPr>
          <w:rFonts w:hint="eastAsia" w:ascii="仿宋_GB2312" w:eastAsia="仿宋_GB2312" w:hAnsiTheme="minorHAnsi" w:cstheme="minorBidi"/>
          <w:color w:val="000000"/>
          <w:kern w:val="2"/>
          <w:sz w:val="32"/>
          <w:szCs w:val="32"/>
        </w:rPr>
        <w:t>三</w:t>
      </w:r>
      <w:r>
        <w:rPr>
          <w:rFonts w:hint="eastAsia" w:ascii="仿宋_GB2312" w:eastAsia="仿宋_GB2312" w:cstheme="minorBidi"/>
          <w:color w:val="000000"/>
          <w:kern w:val="2"/>
          <w:sz w:val="32"/>
          <w:szCs w:val="32"/>
        </w:rPr>
        <w:t>）</w:t>
      </w:r>
      <w:r>
        <w:rPr>
          <w:rFonts w:hint="eastAsia" w:ascii="仿宋_GB2312" w:eastAsia="仿宋_GB2312" w:hAnsiTheme="minorHAnsi" w:cstheme="minorBidi"/>
          <w:color w:val="000000"/>
          <w:kern w:val="2"/>
          <w:sz w:val="32"/>
          <w:szCs w:val="32"/>
        </w:rPr>
        <w:t>加强对</w:t>
      </w:r>
      <w:r>
        <w:rPr>
          <w:rFonts w:hint="eastAsia" w:ascii="仿宋_GB2312" w:eastAsia="仿宋_GB2312" w:cstheme="minorBidi"/>
          <w:color w:val="000000"/>
          <w:kern w:val="2"/>
          <w:sz w:val="32"/>
          <w:szCs w:val="32"/>
        </w:rPr>
        <w:t>市</w:t>
      </w:r>
      <w:r>
        <w:rPr>
          <w:rFonts w:hint="eastAsia" w:ascii="仿宋_GB2312" w:eastAsia="仿宋_GB2312" w:hAnsiTheme="minorHAnsi" w:cstheme="minorBidi"/>
          <w:color w:val="000000"/>
          <w:kern w:val="2"/>
          <w:sz w:val="32"/>
          <w:szCs w:val="32"/>
        </w:rPr>
        <w:t>政府各部门、</w:t>
      </w:r>
      <w:r>
        <w:rPr>
          <w:rFonts w:hint="eastAsia" w:ascii="仿宋_GB2312" w:eastAsia="仿宋_GB2312" w:cstheme="minorBidi"/>
          <w:color w:val="000000"/>
          <w:kern w:val="2"/>
          <w:sz w:val="32"/>
          <w:szCs w:val="32"/>
        </w:rPr>
        <w:t>乡镇</w:t>
      </w:r>
      <w:r>
        <w:rPr>
          <w:rFonts w:hint="eastAsia" w:ascii="仿宋_GB2312" w:eastAsia="仿宋_GB2312" w:hAnsiTheme="minorHAnsi" w:cstheme="minorBidi"/>
          <w:color w:val="000000"/>
          <w:kern w:val="2"/>
          <w:sz w:val="32"/>
          <w:szCs w:val="32"/>
        </w:rPr>
        <w:t>街道依申请公开处理工作的指导，提升各部门、街道法律顾问在依申请公开答复中的参与度，降低答复内容的法律风险。</w:t>
      </w:r>
    </w:p>
    <w:p>
      <w:pPr>
        <w:pStyle w:val="5"/>
        <w:widowControl/>
        <w:spacing w:beforeAutospacing="0" w:afterAutospacing="0"/>
        <w:ind w:firstLine="420"/>
        <w:jc w:val="right"/>
        <w:rPr>
          <w:rFonts w:ascii="仿宋_GB2312" w:eastAsia="仿宋_GB2312" w:hAnsiTheme="minorHAnsi" w:cstheme="minorBidi"/>
          <w:color w:val="000000"/>
          <w:kern w:val="2"/>
          <w:sz w:val="32"/>
          <w:szCs w:val="32"/>
        </w:rPr>
      </w:pPr>
      <w:r>
        <w:rPr>
          <w:rFonts w:hint="eastAsia" w:ascii="仿宋_GB2312" w:eastAsia="仿宋_GB2312" w:cstheme="minorBidi"/>
          <w:color w:val="000000"/>
          <w:kern w:val="2"/>
          <w:sz w:val="32"/>
          <w:szCs w:val="32"/>
        </w:rPr>
        <w:t>表三</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30"/>
        <w:gridCol w:w="1190"/>
        <w:gridCol w:w="1823"/>
        <w:gridCol w:w="709"/>
        <w:gridCol w:w="662"/>
        <w:gridCol w:w="662"/>
        <w:gridCol w:w="709"/>
        <w:gridCol w:w="839"/>
        <w:gridCol w:w="627"/>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543" w:type="dxa"/>
            <w:gridSpan w:val="3"/>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（本列数据的勾稽关系为：第一项加第二项之和，等于第三项加第四项之和）</w:t>
            </w:r>
          </w:p>
        </w:tc>
        <w:tc>
          <w:tcPr>
            <w:tcW w:w="4813" w:type="dxa"/>
            <w:gridSpan w:val="7"/>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543" w:type="dxa"/>
            <w:gridSpan w:val="3"/>
            <w:vMerge w:val="continue"/>
            <w:tcBorders>
              <w:tl2br w:val="nil"/>
              <w:tr2bl w:val="nil"/>
            </w:tcBorders>
            <w:shd w:val="clear" w:color="auto" w:fill="auto"/>
            <w:vAlign w:val="center"/>
          </w:tcPr>
          <w:p>
            <w:pPr>
              <w:rPr>
                <w:rFonts w:ascii="仿宋" w:hAnsi="仿宋" w:eastAsia="仿宋" w:cs="仿宋"/>
                <w:sz w:val="24"/>
              </w:rPr>
            </w:pPr>
          </w:p>
        </w:tc>
        <w:tc>
          <w:tcPr>
            <w:tcW w:w="709"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自然人</w:t>
            </w:r>
          </w:p>
        </w:tc>
        <w:tc>
          <w:tcPr>
            <w:tcW w:w="3499" w:type="dxa"/>
            <w:gridSpan w:val="5"/>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法人或其他组织</w:t>
            </w:r>
          </w:p>
        </w:tc>
        <w:tc>
          <w:tcPr>
            <w:tcW w:w="605"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543" w:type="dxa"/>
            <w:gridSpan w:val="3"/>
            <w:vMerge w:val="continue"/>
            <w:tcBorders>
              <w:tl2br w:val="nil"/>
              <w:tr2bl w:val="nil"/>
            </w:tcBorders>
            <w:shd w:val="clear" w:color="auto" w:fill="auto"/>
            <w:vAlign w:val="center"/>
          </w:tcPr>
          <w:p>
            <w:pPr>
              <w:rPr>
                <w:rFonts w:ascii="仿宋" w:hAnsi="仿宋" w:eastAsia="仿宋" w:cs="仿宋"/>
                <w:sz w:val="24"/>
              </w:rPr>
            </w:pPr>
          </w:p>
        </w:tc>
        <w:tc>
          <w:tcPr>
            <w:tcW w:w="709" w:type="dxa"/>
            <w:vMerge w:val="continue"/>
            <w:tcBorders>
              <w:tl2br w:val="nil"/>
              <w:tr2bl w:val="nil"/>
            </w:tcBorders>
            <w:shd w:val="clear" w:color="auto" w:fill="auto"/>
            <w:vAlign w:val="center"/>
          </w:tcPr>
          <w:p>
            <w:pPr>
              <w:rPr>
                <w:rFonts w:ascii="仿宋" w:hAnsi="仿宋" w:eastAsia="仿宋" w:cs="仿宋"/>
                <w:sz w:val="24"/>
              </w:rPr>
            </w:pPr>
          </w:p>
        </w:tc>
        <w:tc>
          <w:tcPr>
            <w:tcW w:w="662"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商业企业</w:t>
            </w:r>
          </w:p>
        </w:tc>
        <w:tc>
          <w:tcPr>
            <w:tcW w:w="662"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科研机构</w:t>
            </w:r>
          </w:p>
        </w:tc>
        <w:tc>
          <w:tcPr>
            <w:tcW w:w="709"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社会公益组织</w:t>
            </w:r>
          </w:p>
        </w:tc>
        <w:tc>
          <w:tcPr>
            <w:tcW w:w="839"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法律服务机构</w:t>
            </w:r>
          </w:p>
        </w:tc>
        <w:tc>
          <w:tcPr>
            <w:tcW w:w="627"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其他</w:t>
            </w:r>
          </w:p>
        </w:tc>
        <w:tc>
          <w:tcPr>
            <w:tcW w:w="605" w:type="dxa"/>
            <w:vMerge w:val="continue"/>
            <w:tcBorders>
              <w:tl2br w:val="nil"/>
              <w:tr2bl w:val="nil"/>
            </w:tcBorders>
            <w:shd w:val="clear" w:color="auto" w:fill="auto"/>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543" w:type="dxa"/>
            <w:gridSpan w:val="3"/>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一、本年新收政府信息公开申请数量</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208</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3</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543" w:type="dxa"/>
            <w:gridSpan w:val="3"/>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二、上年结转政府信息公开申请数量</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三、本年度办理结果</w:t>
            </w:r>
          </w:p>
        </w:tc>
        <w:tc>
          <w:tcPr>
            <w:tcW w:w="3013" w:type="dxa"/>
            <w:gridSpan w:val="2"/>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（一）予以公开</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171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3</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3013" w:type="dxa"/>
            <w:gridSpan w:val="2"/>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（二）部分公开（区分处理的，只计这一情形，不计其他情形）</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6</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restart"/>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（三）不予公开</w:t>
            </w: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1.属于国家秘密</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2.其他法律行政法规禁止公开</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3.危及“三安全一稳定”</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4.保护第三方合法权益</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5.属于三类内部事务信息</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6</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6.属于四类过程性信息</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4</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7.属于行政执法案卷</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4</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8.属于行政查询事项</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8</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restart"/>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（四）无法提供</w:t>
            </w: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1.本机关不掌握相关政府信息</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6</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2.没有现成信息需要另行制作</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3.补正后申请内容仍不明确</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restart"/>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（五）不予处理</w:t>
            </w: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1.信访举报投诉类申请</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2.重复申请</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3.要求提供公开出版物</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4.无正当理由大量反复申请</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1190" w:type="dxa"/>
            <w:vMerge w:val="continue"/>
            <w:tcBorders>
              <w:tl2br w:val="nil"/>
              <w:tr2bl w:val="nil"/>
            </w:tcBorders>
            <w:shd w:val="clear" w:color="auto" w:fill="auto"/>
            <w:vAlign w:val="center"/>
          </w:tcPr>
          <w:p>
            <w:pPr>
              <w:rPr>
                <w:rFonts w:ascii="仿宋" w:hAnsi="仿宋" w:eastAsia="仿宋" w:cs="仿宋"/>
                <w:sz w:val="24"/>
              </w:rPr>
            </w:pPr>
          </w:p>
        </w:tc>
        <w:tc>
          <w:tcPr>
            <w:tcW w:w="1823" w:type="dxa"/>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5.要求行政机关确认或重新出具已获取信息</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3013" w:type="dxa"/>
            <w:gridSpan w:val="2"/>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（六）其他处理</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30" w:type="dxa"/>
            <w:vMerge w:val="continue"/>
            <w:tcBorders>
              <w:tl2br w:val="nil"/>
              <w:tr2bl w:val="nil"/>
            </w:tcBorders>
            <w:shd w:val="clear" w:color="auto" w:fill="auto"/>
            <w:vAlign w:val="center"/>
          </w:tcPr>
          <w:p>
            <w:pPr>
              <w:rPr>
                <w:rFonts w:ascii="仿宋" w:hAnsi="仿宋" w:eastAsia="仿宋" w:cs="仿宋"/>
                <w:sz w:val="24"/>
              </w:rPr>
            </w:pPr>
          </w:p>
        </w:tc>
        <w:tc>
          <w:tcPr>
            <w:tcW w:w="3013" w:type="dxa"/>
            <w:gridSpan w:val="2"/>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（七）总计</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208</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3</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1</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543" w:type="dxa"/>
            <w:gridSpan w:val="3"/>
            <w:tcBorders>
              <w:tl2br w:val="nil"/>
              <w:tr2bl w:val="nil"/>
            </w:tcBorders>
            <w:shd w:val="clear" w:color="auto" w:fill="auto"/>
            <w:vAlign w:val="center"/>
          </w:tcPr>
          <w:p>
            <w:pPr>
              <w:pStyle w:val="5"/>
              <w:widowControl/>
              <w:spacing w:beforeAutospacing="0" w:afterAutospacing="0"/>
              <w:rPr>
                <w:rFonts w:ascii="仿宋" w:hAnsi="仿宋" w:eastAsia="仿宋" w:cs="仿宋"/>
              </w:rPr>
            </w:pPr>
            <w:r>
              <w:rPr>
                <w:rFonts w:hint="eastAsia" w:ascii="仿宋" w:hAnsi="仿宋" w:eastAsia="仿宋" w:cs="仿宋"/>
              </w:rPr>
              <w:t>四、结转下年度继续办理</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6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70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839"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27"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5"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bl>
    <w:p>
      <w:pPr>
        <w:pStyle w:val="5"/>
        <w:widowControl/>
        <w:spacing w:beforeAutospacing="0" w:afterAutospacing="0"/>
        <w:ind w:firstLine="420"/>
        <w:rPr>
          <w:rFonts w:ascii="黑体" w:hAnsi="黑体" w:eastAsia="黑体" w:cs="黑体"/>
          <w:sz w:val="32"/>
          <w:szCs w:val="32"/>
        </w:rPr>
      </w:pPr>
      <w:r>
        <w:rPr>
          <w:rFonts w:hint="eastAsia" w:ascii="黑体" w:hAnsi="黑体" w:eastAsia="黑体" w:cs="黑体"/>
          <w:sz w:val="32"/>
          <w:szCs w:val="32"/>
        </w:rPr>
        <w:t>五、政府信息公开行政复议、行政诉讼情况</w:t>
      </w:r>
    </w:p>
    <w:p>
      <w:pPr>
        <w:pStyle w:val="5"/>
        <w:widowControl/>
        <w:spacing w:beforeAutospacing="0" w:afterAutospacing="0"/>
        <w:ind w:firstLine="420"/>
        <w:jc w:val="right"/>
        <w:rPr>
          <w:rFonts w:ascii="仿宋_GB2312" w:eastAsia="仿宋_GB2312" w:hAnsiTheme="minorHAnsi" w:cstheme="minorBidi"/>
          <w:color w:val="000000"/>
          <w:kern w:val="2"/>
          <w:sz w:val="32"/>
          <w:szCs w:val="32"/>
        </w:rPr>
      </w:pPr>
      <w:r>
        <w:rPr>
          <w:rFonts w:hint="eastAsia" w:ascii="仿宋_GB2312" w:eastAsia="仿宋_GB2312" w:cstheme="minorBidi"/>
          <w:color w:val="000000"/>
          <w:kern w:val="2"/>
          <w:sz w:val="32"/>
          <w:szCs w:val="32"/>
        </w:rPr>
        <w:t>表四</w:t>
      </w:r>
    </w:p>
    <w:tbl>
      <w:tblPr>
        <w:tblStyle w:val="6"/>
        <w:tblW w:w="903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02"/>
        <w:gridCol w:w="602"/>
        <w:gridCol w:w="602"/>
        <w:gridCol w:w="602"/>
        <w:gridCol w:w="602"/>
        <w:gridCol w:w="602"/>
        <w:gridCol w:w="603"/>
        <w:gridCol w:w="603"/>
        <w:gridCol w:w="603"/>
        <w:gridCol w:w="603"/>
        <w:gridCol w:w="603"/>
        <w:gridCol w:w="603"/>
        <w:gridCol w:w="603"/>
        <w:gridCol w:w="603"/>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9" w:hRule="atLeast"/>
          <w:tblCellSpacing w:w="0" w:type="dxa"/>
          <w:jc w:val="center"/>
        </w:trPr>
        <w:tc>
          <w:tcPr>
            <w:tcW w:w="3010" w:type="dxa"/>
            <w:gridSpan w:val="5"/>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行政复议</w:t>
            </w:r>
          </w:p>
        </w:tc>
        <w:tc>
          <w:tcPr>
            <w:tcW w:w="6029" w:type="dxa"/>
            <w:gridSpan w:val="10"/>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tblCellSpacing w:w="0" w:type="dxa"/>
          <w:jc w:val="center"/>
        </w:trPr>
        <w:tc>
          <w:tcPr>
            <w:tcW w:w="602"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结果维持</w:t>
            </w:r>
          </w:p>
        </w:tc>
        <w:tc>
          <w:tcPr>
            <w:tcW w:w="602"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结果纠正</w:t>
            </w:r>
          </w:p>
        </w:tc>
        <w:tc>
          <w:tcPr>
            <w:tcW w:w="602"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其他结果</w:t>
            </w:r>
          </w:p>
        </w:tc>
        <w:tc>
          <w:tcPr>
            <w:tcW w:w="602"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尚未审结</w:t>
            </w:r>
          </w:p>
        </w:tc>
        <w:tc>
          <w:tcPr>
            <w:tcW w:w="602" w:type="dxa"/>
            <w:vMerge w:val="restart"/>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总计</w:t>
            </w:r>
          </w:p>
        </w:tc>
        <w:tc>
          <w:tcPr>
            <w:tcW w:w="3014" w:type="dxa"/>
            <w:gridSpan w:val="5"/>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未经复议直接起诉</w:t>
            </w:r>
          </w:p>
        </w:tc>
        <w:tc>
          <w:tcPr>
            <w:tcW w:w="3015" w:type="dxa"/>
            <w:gridSpan w:val="5"/>
            <w:tcBorders>
              <w:tl2br w:val="nil"/>
              <w:tr2bl w:val="nil"/>
            </w:tcBorders>
            <w:shd w:val="clear" w:color="auto" w:fill="auto"/>
            <w:vAlign w:val="center"/>
          </w:tcPr>
          <w:p>
            <w:pPr>
              <w:pStyle w:val="5"/>
              <w:widowControl/>
              <w:spacing w:beforeAutospacing="0" w:afterAutospacing="0"/>
              <w:ind w:firstLine="420"/>
              <w:jc w:val="center"/>
              <w:rPr>
                <w:rFonts w:ascii="仿宋" w:hAnsi="仿宋" w:eastAsia="仿宋" w:cs="仿宋"/>
              </w:rPr>
            </w:pPr>
            <w:r>
              <w:rPr>
                <w:rFonts w:hint="eastAsia" w:ascii="仿宋" w:hAnsi="仿宋" w:eastAsia="仿宋" w:cs="仿宋"/>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3" w:hRule="atLeast"/>
          <w:tblCellSpacing w:w="0" w:type="dxa"/>
          <w:jc w:val="center"/>
        </w:trPr>
        <w:tc>
          <w:tcPr>
            <w:tcW w:w="602" w:type="dxa"/>
            <w:vMerge w:val="continue"/>
            <w:tcBorders>
              <w:tl2br w:val="nil"/>
              <w:tr2bl w:val="nil"/>
            </w:tcBorders>
            <w:shd w:val="clear" w:color="auto" w:fill="auto"/>
            <w:vAlign w:val="center"/>
          </w:tcPr>
          <w:p>
            <w:pPr>
              <w:rPr>
                <w:rFonts w:ascii="仿宋" w:hAnsi="仿宋" w:eastAsia="仿宋" w:cs="仿宋"/>
                <w:sz w:val="24"/>
              </w:rPr>
            </w:pPr>
          </w:p>
        </w:tc>
        <w:tc>
          <w:tcPr>
            <w:tcW w:w="602" w:type="dxa"/>
            <w:vMerge w:val="continue"/>
            <w:tcBorders>
              <w:tl2br w:val="nil"/>
              <w:tr2bl w:val="nil"/>
            </w:tcBorders>
            <w:shd w:val="clear" w:color="auto" w:fill="auto"/>
            <w:vAlign w:val="center"/>
          </w:tcPr>
          <w:p>
            <w:pPr>
              <w:rPr>
                <w:rFonts w:ascii="仿宋" w:hAnsi="仿宋" w:eastAsia="仿宋" w:cs="仿宋"/>
                <w:sz w:val="24"/>
              </w:rPr>
            </w:pPr>
          </w:p>
        </w:tc>
        <w:tc>
          <w:tcPr>
            <w:tcW w:w="602" w:type="dxa"/>
            <w:vMerge w:val="continue"/>
            <w:tcBorders>
              <w:tl2br w:val="nil"/>
              <w:tr2bl w:val="nil"/>
            </w:tcBorders>
            <w:shd w:val="clear" w:color="auto" w:fill="auto"/>
            <w:vAlign w:val="center"/>
          </w:tcPr>
          <w:p>
            <w:pPr>
              <w:rPr>
                <w:rFonts w:ascii="仿宋" w:hAnsi="仿宋" w:eastAsia="仿宋" w:cs="仿宋"/>
                <w:sz w:val="24"/>
              </w:rPr>
            </w:pPr>
          </w:p>
        </w:tc>
        <w:tc>
          <w:tcPr>
            <w:tcW w:w="602" w:type="dxa"/>
            <w:vMerge w:val="continue"/>
            <w:tcBorders>
              <w:tl2br w:val="nil"/>
              <w:tr2bl w:val="nil"/>
            </w:tcBorders>
            <w:shd w:val="clear" w:color="auto" w:fill="auto"/>
            <w:vAlign w:val="center"/>
          </w:tcPr>
          <w:p>
            <w:pPr>
              <w:rPr>
                <w:rFonts w:ascii="仿宋" w:hAnsi="仿宋" w:eastAsia="仿宋" w:cs="仿宋"/>
                <w:sz w:val="24"/>
              </w:rPr>
            </w:pPr>
          </w:p>
        </w:tc>
        <w:tc>
          <w:tcPr>
            <w:tcW w:w="602" w:type="dxa"/>
            <w:vMerge w:val="continue"/>
            <w:tcBorders>
              <w:tl2br w:val="nil"/>
              <w:tr2bl w:val="nil"/>
            </w:tcBorders>
            <w:shd w:val="clear" w:color="auto" w:fill="auto"/>
            <w:vAlign w:val="center"/>
          </w:tcPr>
          <w:p>
            <w:pPr>
              <w:rPr>
                <w:rFonts w:ascii="仿宋" w:hAnsi="仿宋" w:eastAsia="仿宋" w:cs="仿宋"/>
                <w:sz w:val="24"/>
              </w:rPr>
            </w:pPr>
          </w:p>
        </w:tc>
        <w:tc>
          <w:tcPr>
            <w:tcW w:w="602"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结果维持</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结果纠正</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其他结果</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尚未审结</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总计</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结果维持</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结果纠正</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其他结果</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尚未审结</w:t>
            </w:r>
          </w:p>
        </w:tc>
        <w:tc>
          <w:tcPr>
            <w:tcW w:w="603" w:type="dxa"/>
            <w:tcBorders>
              <w:tl2br w:val="nil"/>
              <w:tr2bl w:val="nil"/>
            </w:tcBorders>
            <w:shd w:val="clear" w:color="auto" w:fill="auto"/>
            <w:vAlign w:val="center"/>
          </w:tcPr>
          <w:p>
            <w:pPr>
              <w:pStyle w:val="5"/>
              <w:widowControl/>
              <w:spacing w:beforeAutospacing="0" w:afterAutospacing="0"/>
              <w:jc w:val="both"/>
              <w:rPr>
                <w:rFonts w:ascii="仿宋" w:hAnsi="仿宋" w:eastAsia="仿宋" w:cs="仿宋"/>
              </w:rPr>
            </w:pPr>
            <w:r>
              <w:rPr>
                <w:rFonts w:hint="eastAsia" w:ascii="仿宋" w:hAnsi="仿宋" w:eastAsia="仿宋" w:cs="仿宋"/>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9" w:hRule="atLeast"/>
          <w:tblCellSpacing w:w="0" w:type="dxa"/>
          <w:jc w:val="center"/>
        </w:trPr>
        <w:tc>
          <w:tcPr>
            <w:tcW w:w="60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2</w:t>
            </w:r>
          </w:p>
        </w:tc>
        <w:tc>
          <w:tcPr>
            <w:tcW w:w="60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2</w:t>
            </w:r>
          </w:p>
        </w:tc>
        <w:tc>
          <w:tcPr>
            <w:tcW w:w="602"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c>
          <w:tcPr>
            <w:tcW w:w="603" w:type="dxa"/>
            <w:tcBorders>
              <w:tl2br w:val="nil"/>
              <w:tr2bl w:val="nil"/>
            </w:tcBorders>
            <w:shd w:val="clear" w:color="auto" w:fill="auto"/>
            <w:vAlign w:val="center"/>
          </w:tcPr>
          <w:p>
            <w:pPr>
              <w:widowControl/>
              <w:jc w:val="left"/>
              <w:rPr>
                <w:rFonts w:ascii="仿宋" w:hAnsi="仿宋" w:eastAsia="仿宋" w:cs="仿宋"/>
                <w:sz w:val="24"/>
              </w:rPr>
            </w:pPr>
            <w:r>
              <w:rPr>
                <w:rFonts w:hint="eastAsia" w:ascii="仿宋" w:hAnsi="仿宋" w:eastAsia="仿宋" w:cs="仿宋"/>
                <w:sz w:val="24"/>
              </w:rPr>
              <w:t>0</w:t>
            </w:r>
          </w:p>
        </w:tc>
      </w:tr>
    </w:tbl>
    <w:p>
      <w:pPr>
        <w:widowControl/>
        <w:jc w:val="left"/>
        <w:rPr>
          <w:rFonts w:ascii="仿宋" w:hAnsi="仿宋" w:eastAsia="仿宋" w:cs="仿宋"/>
          <w:sz w:val="24"/>
        </w:rPr>
      </w:pPr>
    </w:p>
    <w:p>
      <w:pPr>
        <w:pStyle w:val="5"/>
        <w:widowControl/>
        <w:spacing w:beforeAutospacing="0" w:afterAutospacing="0"/>
        <w:ind w:firstLine="420"/>
        <w:rPr>
          <w:rFonts w:ascii="黑体" w:hAnsi="黑体" w:eastAsia="黑体" w:cs="黑体"/>
          <w:sz w:val="32"/>
          <w:szCs w:val="32"/>
        </w:rPr>
      </w:pPr>
      <w:r>
        <w:rPr>
          <w:rFonts w:hint="eastAsia" w:ascii="黑体" w:hAnsi="黑体" w:eastAsia="黑体" w:cs="黑体"/>
          <w:sz w:val="32"/>
          <w:szCs w:val="32"/>
        </w:rPr>
        <w:t>六、存在的主要问题及改进情况</w:t>
      </w:r>
    </w:p>
    <w:p>
      <w:pPr>
        <w:pStyle w:val="5"/>
        <w:widowControl/>
        <w:spacing w:beforeAutospacing="0" w:afterAutospacing="0"/>
        <w:ind w:firstLine="420"/>
        <w:rPr>
          <w:rFonts w:ascii="楷体" w:hAnsi="楷体" w:eastAsia="楷体" w:cs="楷体"/>
          <w:b/>
          <w:bCs/>
          <w:sz w:val="32"/>
          <w:szCs w:val="32"/>
        </w:rPr>
      </w:pPr>
      <w:r>
        <w:rPr>
          <w:rFonts w:hint="eastAsia" w:ascii="楷体" w:hAnsi="楷体" w:eastAsia="楷体" w:cs="楷体"/>
          <w:b/>
          <w:bCs/>
          <w:sz w:val="32"/>
          <w:szCs w:val="32"/>
        </w:rPr>
        <w:t>（一）主要问题</w:t>
      </w:r>
    </w:p>
    <w:p>
      <w:pPr>
        <w:pStyle w:val="5"/>
        <w:widowControl/>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一是对新《条例》理论学习、应用、实践薄弱，深度和广度拓展不够；二是对“五公开”的认识不到位，特别决策公开方面；三是公开工作机制不够健全，一些单位工作力量较为薄弱，公开意识和能力尚需加强；四是政策解读方式不够多元，精准解读效果仍需提高。</w:t>
      </w:r>
    </w:p>
    <w:p>
      <w:pPr>
        <w:pStyle w:val="5"/>
        <w:widowControl/>
        <w:spacing w:beforeAutospacing="0" w:afterAutospacing="0"/>
        <w:ind w:firstLine="420"/>
        <w:rPr>
          <w:rFonts w:ascii="楷体" w:hAnsi="楷体" w:eastAsia="楷体" w:cs="楷体"/>
          <w:b/>
          <w:bCs/>
          <w:sz w:val="32"/>
          <w:szCs w:val="32"/>
        </w:rPr>
      </w:pPr>
      <w:r>
        <w:rPr>
          <w:rFonts w:hint="eastAsia" w:ascii="楷体" w:hAnsi="楷体" w:eastAsia="楷体" w:cs="楷体"/>
          <w:b/>
          <w:bCs/>
          <w:sz w:val="32"/>
          <w:szCs w:val="32"/>
        </w:rPr>
        <w:t>（二）改进措施</w:t>
      </w:r>
    </w:p>
    <w:p>
      <w:pPr>
        <w:pStyle w:val="5"/>
        <w:widowControl/>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一是要进一步在学习贯彻新条例上下功夫。新修订的《政府信息公开条例》已于5月15日起正式实施，新条例进一步明确了政府信息公开范围，完善了依申请公开程序，强化了便民服务要求，为进一步提高政府工作透明度，建设法治政府，促进新时代政务公开工作创新、协调、可持续发展提供了制度依据，奠定了法治基础。下一步要加强新修订的政府信息公开条例学习领会，熟悉掌握新条例，熟练运用新条例。同时结合形式多样的普法活动，引导公众有序参与，为贯彻落实条例营造良好氛围。</w:t>
      </w:r>
    </w:p>
    <w:p>
      <w:pPr>
        <w:pStyle w:val="5"/>
        <w:widowControl/>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二是要进一步在全面梳理主动公开目录清单上下功夫。要结合机构改革和新的“三定”方案，重新编制政府信息公开指南和公开目录。市级部门要根据办公室的部署，全面梳理本单位主动公开目录清单。深化公共资源配置信息公开，重点公开保障性安居工程建设、保障性住房分配、国有土地使用权和矿业权出让、政府采购、国有产权交易、工程建设项目招投标等信息；深化公益事业信息公开，集中发布就业创业、社会救助和社会福利、养老服务、教育、基本医疗卫生、食品药品安全、安全生产、灾害事故救援、公共文化体育等相关信息。</w:t>
      </w:r>
    </w:p>
    <w:p>
      <w:pPr>
        <w:pStyle w:val="5"/>
        <w:widowControl/>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三是要进一步在加强政策解读、舆情回应上下功夫。现代信息社会，预期管理极为重要，要让市场看到稳定的预期，就要加强政策解读，释放积极信号。下一步要进一步落实信息发布的主体责任，履行好重大政策“第一解读人”职责，通过积极参加新闻办新闻发布会、政策吹风会、网络访谈等方式，深入解读政策背景、重点任务、后续工作考虑等。市府办要统筹协调政府部门、新闻媒体等各方力量资源，形成全方位、多层次、立体式的政策解读机制。</w:t>
      </w:r>
    </w:p>
    <w:p>
      <w:pPr>
        <w:pStyle w:val="5"/>
        <w:widowControl/>
        <w:spacing w:beforeAutospacing="0" w:afterAutospacing="0"/>
        <w:ind w:firstLine="420"/>
        <w:rPr>
          <w:rFonts w:ascii="黑体" w:hAnsi="黑体" w:eastAsia="黑体" w:cs="黑体"/>
          <w:sz w:val="32"/>
          <w:szCs w:val="32"/>
        </w:rPr>
      </w:pPr>
      <w:r>
        <w:rPr>
          <w:rFonts w:hint="eastAsia" w:ascii="黑体" w:hAnsi="黑体" w:eastAsia="黑体" w:cs="黑体"/>
          <w:sz w:val="32"/>
          <w:szCs w:val="32"/>
        </w:rPr>
        <w:t>七、其他需要报告的事项</w:t>
      </w:r>
    </w:p>
    <w:p>
      <w:pPr>
        <w:ind w:firstLine="640" w:firstLineChars="200"/>
        <w:rPr>
          <w:rFonts w:ascii="仿宋" w:hAnsi="仿宋" w:eastAsia="仿宋" w:cs="仿宋"/>
          <w:sz w:val="24"/>
        </w:rPr>
      </w:pPr>
      <w:r>
        <w:rPr>
          <w:rFonts w:hint="eastAsia" w:ascii="仿宋" w:hAnsi="仿宋" w:eastAsia="仿宋" w:cs="仿宋"/>
          <w:sz w:val="32"/>
          <w:szCs w:val="32"/>
        </w:rPr>
        <w:t>无。</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48A5"/>
    <w:rsid w:val="006A5248"/>
    <w:rsid w:val="009448A5"/>
    <w:rsid w:val="00FE5634"/>
    <w:rsid w:val="067C4528"/>
    <w:rsid w:val="13B6549A"/>
    <w:rsid w:val="192502FD"/>
    <w:rsid w:val="1D646B03"/>
    <w:rsid w:val="201E1BF6"/>
    <w:rsid w:val="20937F8E"/>
    <w:rsid w:val="34F73D07"/>
    <w:rsid w:val="389B0535"/>
    <w:rsid w:val="3B42489A"/>
    <w:rsid w:val="4E7F748E"/>
    <w:rsid w:val="5939166E"/>
    <w:rsid w:val="5FF92654"/>
    <w:rsid w:val="6B0F5758"/>
    <w:rsid w:val="76245434"/>
    <w:rsid w:val="77C414EC"/>
    <w:rsid w:val="79435E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paragraph" w:customStyle="1" w:styleId="9">
    <w:name w:val="_Style 3"/>
    <w:basedOn w:val="1"/>
    <w:qFormat/>
    <w:uiPriority w:val="0"/>
    <w:pPr>
      <w:widowControl/>
      <w:spacing w:after="160" w:line="240" w:lineRule="exact"/>
      <w:jc w:val="left"/>
    </w:pPr>
    <w:rPr>
      <w:rFonts w:cs="Calibri"/>
      <w:szCs w:val="21"/>
    </w:rPr>
  </w:style>
  <w:style w:type="character" w:customStyle="1" w:styleId="10">
    <w:name w:val="页眉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846</Words>
  <Characters>4824</Characters>
  <Lines>40</Lines>
  <Paragraphs>11</Paragraphs>
  <TotalTime>38</TotalTime>
  <ScaleCrop>false</ScaleCrop>
  <LinksUpToDate>false</LinksUpToDate>
  <CharactersWithSpaces>5659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2020-02-21T07:32:00Z</dcterms:created>
  <dc:creator>Administrator</dc:creator>
  <cp:lastModifiedBy>匿名用户</cp:lastModifiedBy>
  <dcterms:modified xsi:type="dcterms:W3CDTF">2021-02-19T05:56:18Z</dcterms:modified>
  <dc:title>余姚市人民政府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