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eastAsia="华文中宋"/>
          <w:sz w:val="44"/>
          <w:szCs w:val="44"/>
        </w:rPr>
      </w:pPr>
      <w:r>
        <w:rPr>
          <w:rFonts w:hint="eastAsia" w:ascii="华文中宋" w:eastAsia="华文中宋"/>
          <w:sz w:val="44"/>
          <w:szCs w:val="44"/>
        </w:rPr>
        <w:t>关于调整工伤保险费率政策的通知</w:t>
      </w:r>
    </w:p>
    <w:p>
      <w:pPr>
        <w:spacing w:line="600" w:lineRule="exact"/>
        <w:jc w:val="center"/>
        <w:rPr>
          <w:rFonts w:hint="eastAsia" w:ascii="华文中宋" w:eastAsia="华文中宋"/>
          <w:sz w:val="44"/>
          <w:szCs w:val="44"/>
        </w:rPr>
      </w:pPr>
      <w:r>
        <w:rPr>
          <w:rFonts w:ascii="华文中宋" w:eastAsia="华文中宋"/>
          <w:sz w:val="44"/>
          <w:szCs w:val="44"/>
        </w:rPr>
        <w:t>（意见征求稿）</w:t>
      </w:r>
    </w:p>
    <w:p>
      <w:pPr>
        <w:spacing w:line="520" w:lineRule="exact"/>
        <w:jc w:val="center"/>
        <w:rPr>
          <w:rFonts w:hint="eastAsia" w:ascii="宋体"/>
          <w:b/>
          <w:sz w:val="44"/>
          <w:szCs w:val="44"/>
        </w:rPr>
      </w:pPr>
    </w:p>
    <w:p>
      <w:pPr>
        <w:spacing w:line="520" w:lineRule="exact"/>
        <w:rPr>
          <w:rFonts w:hint="eastAsia" w:ascii="仿宋_GB2312" w:eastAsia="仿宋_GB2312"/>
          <w:sz w:val="32"/>
          <w:szCs w:val="32"/>
        </w:rPr>
      </w:pPr>
      <w:r>
        <w:rPr>
          <w:rFonts w:hint="eastAsia" w:ascii="仿宋_GB2312" w:eastAsia="仿宋_GB2312"/>
          <w:sz w:val="32"/>
          <w:szCs w:val="32"/>
        </w:rPr>
        <w:t>各用人单位：</w:t>
      </w:r>
    </w:p>
    <w:p>
      <w:pPr>
        <w:spacing w:line="520" w:lineRule="exact"/>
        <w:rPr>
          <w:rFonts w:hint="eastAsia" w:ascii="仿宋_GB2312" w:eastAsia="仿宋_GB2312"/>
          <w:sz w:val="32"/>
          <w:szCs w:val="32"/>
        </w:rPr>
      </w:pPr>
      <w:r>
        <w:rPr>
          <w:rFonts w:hint="eastAsia"/>
        </w:rPr>
        <w:t xml:space="preserve">     </w:t>
      </w:r>
      <w:r>
        <w:rPr>
          <w:rFonts w:hint="eastAsia" w:ascii="仿宋_GB2312" w:eastAsia="仿宋_GB2312"/>
          <w:sz w:val="32"/>
          <w:szCs w:val="32"/>
        </w:rPr>
        <w:t xml:space="preserve"> 为更好贯彻《社会保险法》、《工伤保险条例》</w:t>
      </w:r>
      <w:r>
        <w:rPr>
          <w:rFonts w:ascii="仿宋_GB2312" w:eastAsia="仿宋_GB2312"/>
          <w:sz w:val="32"/>
          <w:szCs w:val="32"/>
        </w:rPr>
        <w:t>，使工伤保险费率政策更加科学、合理。同时根据省系统数据集中要求和我市实际，决定</w:t>
      </w:r>
      <w:r>
        <w:rPr>
          <w:rFonts w:hint="eastAsia" w:ascii="仿宋_GB2312" w:eastAsia="仿宋_GB2312"/>
          <w:sz w:val="32"/>
          <w:szCs w:val="32"/>
        </w:rPr>
        <w:t>调整我市的工伤保险费率政策。现将有关事项通知如下：</w:t>
      </w:r>
    </w:p>
    <w:p>
      <w:pPr>
        <w:numPr>
          <w:ilvl w:val="0"/>
          <w:numId w:val="1"/>
        </w:numPr>
        <w:spacing w:line="540" w:lineRule="exact"/>
        <w:rPr>
          <w:rFonts w:hint="eastAsia" w:ascii="黑体" w:eastAsia="黑体"/>
          <w:sz w:val="32"/>
          <w:szCs w:val="32"/>
        </w:rPr>
      </w:pPr>
      <w:r>
        <w:rPr>
          <w:rFonts w:hint="eastAsia" w:ascii="黑体" w:eastAsia="黑体"/>
          <w:sz w:val="32"/>
          <w:szCs w:val="32"/>
        </w:rPr>
        <w:t>关于行业工伤风险类别划分</w:t>
      </w:r>
    </w:p>
    <w:p>
      <w:pPr>
        <w:spacing w:line="540" w:lineRule="exact"/>
        <w:ind w:firstLine="645"/>
        <w:rPr>
          <w:rFonts w:hint="eastAsia" w:ascii="仿宋_GB2312" w:eastAsia="仿宋_GB2312"/>
          <w:sz w:val="32"/>
          <w:szCs w:val="32"/>
        </w:rPr>
      </w:pPr>
      <w:r>
        <w:rPr>
          <w:rFonts w:hint="eastAsia" w:ascii="仿宋_GB2312" w:eastAsia="仿宋_GB2312"/>
          <w:sz w:val="32"/>
          <w:szCs w:val="32"/>
        </w:rPr>
        <w:t>按照《国民经济行业分类》（GB/T4754-2011）对行业的划分，根据不同行业的工伤风险程度，由低到高，依次将行业工伤风险类别划分为一类至八类（见附件1）。</w:t>
      </w:r>
    </w:p>
    <w:p>
      <w:pPr>
        <w:numPr>
          <w:ilvl w:val="0"/>
          <w:numId w:val="1"/>
        </w:numPr>
        <w:spacing w:line="540" w:lineRule="exact"/>
        <w:rPr>
          <w:rFonts w:hint="eastAsia" w:ascii="黑体" w:eastAsia="黑体"/>
          <w:sz w:val="32"/>
          <w:szCs w:val="32"/>
        </w:rPr>
      </w:pPr>
      <w:r>
        <w:rPr>
          <w:rFonts w:hint="eastAsia" w:ascii="黑体" w:eastAsia="黑体"/>
          <w:sz w:val="32"/>
          <w:szCs w:val="32"/>
        </w:rPr>
        <w:t>关于行业差别费率</w:t>
      </w:r>
    </w:p>
    <w:p>
      <w:pPr>
        <w:spacing w:line="540" w:lineRule="exact"/>
        <w:ind w:firstLine="645"/>
        <w:rPr>
          <w:rFonts w:hint="eastAsia" w:ascii="仿宋_GB2312" w:eastAsia="仿宋_GB2312"/>
          <w:sz w:val="32"/>
          <w:szCs w:val="32"/>
        </w:rPr>
      </w:pPr>
      <w:r>
        <w:rPr>
          <w:rFonts w:hint="eastAsia" w:ascii="仿宋_GB2312" w:eastAsia="仿宋_GB2312"/>
          <w:sz w:val="32"/>
          <w:szCs w:val="32"/>
        </w:rPr>
        <w:t>不同工伤风险类别行业执行不同的工伤保险行业基准费率。按照“以支定收、收支平衡”的原则和合理确定本地区工伤保险行业基准费率具体标准的精神。结合我市工伤保险的基本情况，一类至八类行业对应的基准费率分别为：0.30%、0.60%、1.00%、1.35%、1.65%、1.95%、2.40%、2.85%（见附件2）。</w:t>
      </w:r>
    </w:p>
    <w:p>
      <w:pPr>
        <w:spacing w:line="540" w:lineRule="exact"/>
        <w:ind w:firstLine="645"/>
        <w:rPr>
          <w:rFonts w:hint="eastAsia" w:ascii="仿宋_GB2312" w:eastAsia="仿宋_GB2312"/>
          <w:sz w:val="32"/>
          <w:szCs w:val="32"/>
        </w:rPr>
      </w:pPr>
      <w:r>
        <w:rPr>
          <w:rFonts w:hint="eastAsia" w:ascii="仿宋_GB2312" w:eastAsia="仿宋_GB2312"/>
          <w:sz w:val="32"/>
          <w:szCs w:val="32"/>
        </w:rPr>
        <w:t>通过费率浮动的办法确定每个行业内的费率档次。一类行业分为三个档次，即在基准费率的基础上，可向上浮动至120%、150%。二类至八类行业分为五个档次，即在基准费率的基础上，可分别向上浮动至120%、150%或下向浮动至80%、50%。</w:t>
      </w:r>
    </w:p>
    <w:p>
      <w:pPr>
        <w:spacing w:line="540" w:lineRule="exact"/>
        <w:ind w:firstLine="645"/>
        <w:rPr>
          <w:rFonts w:hint="eastAsia" w:ascii="仿宋_GB2312" w:eastAsia="仿宋_GB2312"/>
          <w:sz w:val="32"/>
          <w:szCs w:val="32"/>
        </w:rPr>
      </w:pPr>
      <w:r>
        <w:rPr>
          <w:rFonts w:hint="eastAsia" w:ascii="仿宋_GB2312" w:eastAsia="仿宋_GB2312"/>
          <w:sz w:val="32"/>
          <w:szCs w:val="32"/>
        </w:rPr>
        <w:t>行业缴费费率根据本地区经济产业结构变动、工伤保险费使用等情况，</w:t>
      </w:r>
      <w:r>
        <w:rPr>
          <w:rFonts w:ascii="仿宋_GB2312" w:eastAsia="仿宋_GB2312"/>
          <w:sz w:val="32"/>
          <w:szCs w:val="32"/>
        </w:rPr>
        <w:t>报请市政府批准后</w:t>
      </w:r>
      <w:r>
        <w:rPr>
          <w:rFonts w:hint="eastAsia" w:ascii="仿宋_GB2312" w:eastAsia="仿宋_GB2312"/>
          <w:sz w:val="32"/>
          <w:szCs w:val="32"/>
        </w:rPr>
        <w:t>适时调整。</w:t>
      </w:r>
    </w:p>
    <w:p>
      <w:pPr>
        <w:spacing w:line="540" w:lineRule="exact"/>
        <w:ind w:firstLine="645"/>
        <w:rPr>
          <w:rFonts w:hint="eastAsia" w:ascii="黑体" w:eastAsia="黑体"/>
          <w:sz w:val="32"/>
          <w:szCs w:val="32"/>
        </w:rPr>
      </w:pPr>
      <w:r>
        <w:rPr>
          <w:rFonts w:hint="eastAsia" w:ascii="黑体" w:eastAsia="黑体"/>
          <w:sz w:val="32"/>
          <w:szCs w:val="32"/>
        </w:rPr>
        <w:t>三、关于行业费率浮动档次</w:t>
      </w:r>
    </w:p>
    <w:p>
      <w:pPr>
        <w:spacing w:line="540" w:lineRule="exact"/>
        <w:ind w:firstLine="645"/>
        <w:rPr>
          <w:rFonts w:hint="eastAsia" w:ascii="仿宋_GB2312" w:eastAsia="仿宋_GB2312"/>
          <w:sz w:val="32"/>
          <w:szCs w:val="32"/>
        </w:rPr>
      </w:pPr>
      <w:r>
        <w:rPr>
          <w:rFonts w:hint="eastAsia" w:ascii="仿宋_GB2312" w:eastAsia="仿宋_GB2312"/>
          <w:sz w:val="32"/>
          <w:szCs w:val="32"/>
        </w:rPr>
        <w:t xml:space="preserve">市社会保险经办机构根据年度用人单位工伤保险费使用、工伤发生率、安全生产管理、职业病危害程度等情况，每年确定一次其所属行业内的费率档次，确定后档次所对应的费率自下年度的5月1日起执行。具体浮动办法如下： </w:t>
      </w:r>
    </w:p>
    <w:p>
      <w:pPr>
        <w:spacing w:line="540" w:lineRule="exact"/>
        <w:ind w:firstLine="315" w:firstLineChars="98"/>
        <w:rPr>
          <w:rFonts w:hint="eastAsia" w:ascii="楷体_GB2312" w:eastAsia="楷体_GB2312"/>
          <w:b/>
          <w:sz w:val="32"/>
          <w:szCs w:val="32"/>
        </w:rPr>
      </w:pPr>
      <w:r>
        <w:rPr>
          <w:rFonts w:hint="eastAsia" w:ascii="楷体_GB2312" w:eastAsia="楷体_GB2312"/>
          <w:b/>
          <w:sz w:val="32"/>
          <w:szCs w:val="32"/>
        </w:rPr>
        <w:t xml:space="preserve">（一）按工伤保险费使用情况 </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1.一类行业用人单位，根据其年度工伤保险费收支比例（本单位基金使用总额占其缴费总额的比例，下同），按以下标准浮动次年度费率：</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收支比例为 120％以下的，执行本行业基准费率；</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收支比例为 120%（含）以上不到 150%的，费率上浮一档，至基准费率的 120 %；</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 xml:space="preserve">收支比例为 150 %（含）以上的，费率上浮二档，至基准费率的 150％。 </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2.二类至八类行业用人单位，根据其年度工伤保险费收支比例，按以下标准浮动次年费率：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收支比例为50%以下的，费率下浮二档，至基准费率50% ;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收支比例为50%（含）以上不到80%的，费率下浮一档，至基准费率的80% ;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收支比例为 80%（含）以上不到120%的，执行本行业基准费率；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收支比例为120%（含）以上不到150%的，费率上浮一档，至基准费率的 120%；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收支比例为150%（含）以上的，费率上浮二档，至基准费率的150％。</w:t>
      </w:r>
    </w:p>
    <w:p>
      <w:pPr>
        <w:spacing w:line="560" w:lineRule="exact"/>
        <w:ind w:firstLine="482" w:firstLineChars="150"/>
        <w:rPr>
          <w:rFonts w:hint="eastAsia" w:ascii="仿宋_GB2312" w:eastAsia="仿宋_GB2312"/>
          <w:sz w:val="32"/>
          <w:szCs w:val="32"/>
        </w:rPr>
      </w:pPr>
      <w:r>
        <w:rPr>
          <w:rFonts w:hint="eastAsia" w:ascii="楷体_GB2312" w:eastAsia="楷体_GB2312"/>
          <w:b/>
          <w:sz w:val="32"/>
          <w:szCs w:val="32"/>
        </w:rPr>
        <w:t>（二）按工伤发生率与安全生产管理情况</w:t>
      </w:r>
      <w:r>
        <w:rPr>
          <w:rFonts w:hint="eastAsia" w:ascii="仿宋_GB2312" w:eastAsia="仿宋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一类至八类行业的用人单位，年度工伤发生率（本单位发生工伤人次数与其参保人数之比，下同）在4%及以上或者宁波市安全生产信用等级为“D级”的，在按工伤保险费收支比例浮动次年度费率的基础上，上浮一档费率（已核定为所属行业最高档次费率的不再上浮）。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4.二类至八类行业用人单位，年度工伤保险费收支比例不到 80％、工伤发生率不到1% ，且经国家、省、市有关部门评审，达到安全生产标准化一至</w:t>
      </w:r>
      <w:r>
        <w:rPr>
          <w:rFonts w:ascii="仿宋_GB2312" w:eastAsia="仿宋_GB2312"/>
          <w:sz w:val="32"/>
          <w:szCs w:val="32"/>
        </w:rPr>
        <w:t>三</w:t>
      </w:r>
      <w:r>
        <w:rPr>
          <w:rFonts w:hint="eastAsia" w:ascii="仿宋_GB2312" w:eastAsia="仿宋_GB2312"/>
          <w:sz w:val="32"/>
          <w:szCs w:val="32"/>
        </w:rPr>
        <w:t>级企业或者达到宁波市安全生产信用等级“</w:t>
      </w:r>
      <w:r>
        <w:rPr>
          <w:rFonts w:ascii="仿宋_GB2312" w:eastAsia="仿宋_GB2312"/>
          <w:sz w:val="32"/>
          <w:szCs w:val="32"/>
        </w:rPr>
        <w:t>B</w:t>
      </w:r>
      <w:r>
        <w:rPr>
          <w:rFonts w:hint="eastAsia" w:ascii="仿宋_GB2312" w:eastAsia="仿宋_GB2312"/>
          <w:sz w:val="32"/>
          <w:szCs w:val="32"/>
        </w:rPr>
        <w:t>”级</w:t>
      </w:r>
      <w:r>
        <w:rPr>
          <w:rFonts w:ascii="仿宋_GB2312" w:eastAsia="仿宋_GB2312"/>
          <w:sz w:val="32"/>
          <w:szCs w:val="32"/>
        </w:rPr>
        <w:t>及以上</w:t>
      </w:r>
      <w:r>
        <w:rPr>
          <w:rFonts w:hint="eastAsia" w:ascii="仿宋_GB2312" w:eastAsia="仿宋_GB2312"/>
          <w:sz w:val="32"/>
          <w:szCs w:val="32"/>
        </w:rPr>
        <w:t>的，在按工伤保险费用收支比例浮动次年度费率的基础上，下浮一档费率（已核定为所属行业最低档次费率的不再下浮）。</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工伤发生率的计算不包括因上下班途中发生的交通事故伤害、因履行工作职责受到暴力等意外伤害、在工作岗位上突发疾病死亡或48小时内抢救无效死亡、因工外出期间受到事故伤害等非直接安全生产经营性事故伤害和在抢险救灾等维护国家利益、公共利益活动中受到的伤害。</w:t>
      </w:r>
    </w:p>
    <w:p>
      <w:pPr>
        <w:spacing w:line="520" w:lineRule="exact"/>
        <w:ind w:left="479" w:leftChars="228" w:firstLine="161" w:firstLineChars="50"/>
        <w:rPr>
          <w:rFonts w:hint="eastAsia" w:ascii="仿宋_GB2312" w:eastAsia="仿宋_GB2312"/>
          <w:sz w:val="32"/>
          <w:szCs w:val="32"/>
        </w:rPr>
      </w:pPr>
      <w:r>
        <w:rPr>
          <w:rFonts w:hint="eastAsia" w:ascii="楷体_GB2312" w:eastAsia="楷体_GB2312"/>
          <w:b/>
          <w:sz w:val="32"/>
          <w:szCs w:val="32"/>
        </w:rPr>
        <w:t>（三）按职业病发生情况</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5.一类至八类行业用人单位，年度内其职工发生职业病伤害事故（且经劳动能力鉴定为职业病门类1一10级）的，次年起执行所属行业最高档次费率。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6.用人单位在执行所属行业最高档次费率期间，未再发生新的职业病伤害事故的，两年后恢复其在行业内进行费率浮动。</w:t>
      </w:r>
    </w:p>
    <w:p>
      <w:pPr>
        <w:spacing w:line="520" w:lineRule="exact"/>
        <w:ind w:firstLine="645"/>
        <w:rPr>
          <w:rFonts w:hint="eastAsia" w:ascii="黑体" w:eastAsia="黑体"/>
          <w:sz w:val="32"/>
          <w:szCs w:val="32"/>
        </w:rPr>
      </w:pPr>
      <w:r>
        <w:rPr>
          <w:rFonts w:hint="eastAsia" w:ascii="黑体" w:eastAsia="黑体"/>
          <w:sz w:val="32"/>
          <w:szCs w:val="32"/>
        </w:rPr>
        <w:t>四、其他</w:t>
      </w:r>
    </w:p>
    <w:p>
      <w:pPr>
        <w:spacing w:line="520" w:lineRule="exact"/>
        <w:ind w:firstLine="646"/>
        <w:rPr>
          <w:rFonts w:hint="eastAsia" w:ascii="仿宋_GB2312" w:eastAsia="仿宋_GB2312"/>
          <w:sz w:val="32"/>
          <w:szCs w:val="32"/>
        </w:rPr>
      </w:pPr>
      <w:r>
        <w:rPr>
          <w:rFonts w:hint="eastAsia" w:ascii="仿宋_GB2312" w:eastAsia="仿宋_GB2312"/>
          <w:sz w:val="32"/>
          <w:szCs w:val="32"/>
        </w:rPr>
        <w:t>1、劳务派遣单位统一实行四类行业类别，基准费率为1.35%，并按四类行业进行费率浮动。</w:t>
      </w:r>
    </w:p>
    <w:p>
      <w:pPr>
        <w:spacing w:line="520" w:lineRule="exact"/>
        <w:ind w:firstLine="646"/>
        <w:rPr>
          <w:rFonts w:hint="eastAsia" w:ascii="仿宋_GB2312" w:eastAsia="仿宋_GB2312"/>
          <w:sz w:val="32"/>
          <w:szCs w:val="32"/>
        </w:rPr>
      </w:pPr>
      <w:r>
        <w:rPr>
          <w:rFonts w:hint="eastAsia" w:ascii="仿宋_GB2312" w:eastAsia="仿宋_GB2312"/>
          <w:sz w:val="32"/>
          <w:szCs w:val="32"/>
        </w:rPr>
        <w:t>2、本通知所称年度是指宁波市规定的社会保险年度，从当年5月1日至次年4月30日。</w:t>
      </w:r>
    </w:p>
    <w:p>
      <w:pPr>
        <w:spacing w:line="560" w:lineRule="exact"/>
        <w:ind w:firstLine="646"/>
        <w:rPr>
          <w:rFonts w:hint="eastAsia" w:ascii="仿宋_GB2312" w:eastAsia="仿宋_GB2312"/>
          <w:sz w:val="32"/>
          <w:szCs w:val="32"/>
        </w:rPr>
      </w:pPr>
      <w:r>
        <w:rPr>
          <w:rFonts w:hint="eastAsia" w:ascii="仿宋_GB2312" w:eastAsia="仿宋_GB2312"/>
          <w:sz w:val="32"/>
          <w:szCs w:val="32"/>
        </w:rPr>
        <w:t>3、本通知自20</w:t>
      </w:r>
      <w:r>
        <w:rPr>
          <w:rFonts w:ascii="仿宋_GB2312" w:eastAsia="仿宋_GB2312"/>
          <w:sz w:val="32"/>
          <w:szCs w:val="32"/>
        </w:rPr>
        <w:t>21</w:t>
      </w:r>
      <w:r>
        <w:rPr>
          <w:rFonts w:hint="eastAsia" w:ascii="仿宋_GB2312" w:eastAsia="仿宋_GB2312"/>
          <w:sz w:val="32"/>
          <w:szCs w:val="32"/>
        </w:rPr>
        <w:t>年1月1日起实施。原有关规定与本通知不一致的，按本通知执行。</w:t>
      </w:r>
    </w:p>
    <w:p>
      <w:pPr>
        <w:spacing w:line="540" w:lineRule="exact"/>
        <w:rPr>
          <w:rFonts w:hint="eastAsia" w:ascii="仿宋_GB2312" w:eastAsia="仿宋_GB2312"/>
          <w:sz w:val="32"/>
          <w:szCs w:val="32"/>
        </w:rPr>
      </w:pPr>
    </w:p>
    <w:p>
      <w:pPr>
        <w:spacing w:line="540" w:lineRule="exact"/>
        <w:ind w:firstLine="803" w:firstLineChars="251"/>
        <w:rPr>
          <w:rFonts w:hint="eastAsia" w:ascii="仿宋_GB2312" w:eastAsia="仿宋_GB2312"/>
          <w:sz w:val="32"/>
          <w:szCs w:val="32"/>
        </w:rPr>
      </w:pPr>
      <w:r>
        <w:rPr>
          <w:rFonts w:hint="eastAsia" w:ascii="仿宋_GB2312" w:eastAsia="仿宋_GB2312"/>
          <w:sz w:val="32"/>
          <w:szCs w:val="32"/>
        </w:rPr>
        <w:t>附件：1、工伤保险行业风险分类表</w:t>
      </w:r>
    </w:p>
    <w:p>
      <w:pPr>
        <w:spacing w:line="540" w:lineRule="exact"/>
        <w:ind w:firstLine="645"/>
        <w:rPr>
          <w:rFonts w:hint="eastAsia" w:ascii="仿宋_GB2312" w:eastAsia="仿宋_GB2312"/>
          <w:sz w:val="32"/>
          <w:szCs w:val="32"/>
        </w:rPr>
      </w:pPr>
      <w:r>
        <w:rPr>
          <w:rFonts w:hint="eastAsia" w:ascii="仿宋_GB2312" w:eastAsia="仿宋_GB2312"/>
          <w:sz w:val="32"/>
          <w:szCs w:val="32"/>
        </w:rPr>
        <w:t xml:space="preserve">       2、余姚市工伤保险基准费率及费率浮动表</w:t>
      </w: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余姚市人力资源和社会保障局       余姚市财政局</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480" w:lineRule="exact"/>
        <w:ind w:left="0"/>
        <w:rPr>
          <w:rFonts w:hint="eastAsia" w:ascii="仿宋_GB2312" w:eastAsia="仿宋_GB2312"/>
          <w:sz w:val="32"/>
          <w:szCs w:val="32"/>
        </w:rPr>
      </w:pPr>
      <w:r>
        <w:rPr>
          <w:rFonts w:ascii="仿宋_GB2312" w:eastAsia="仿宋_GB2312"/>
          <w:sz w:val="32"/>
          <w:szCs w:val="32"/>
        </w:rPr>
        <w:t>国家税务总局</w:t>
      </w:r>
      <w:r>
        <w:rPr>
          <w:rFonts w:hint="eastAsia" w:ascii="仿宋_GB2312" w:eastAsia="仿宋_GB2312"/>
          <w:sz w:val="32"/>
          <w:szCs w:val="32"/>
        </w:rPr>
        <w:t xml:space="preserve">余姚市税务局       </w:t>
      </w:r>
      <w:r>
        <w:rPr>
          <w:rFonts w:ascii="仿宋_GB2312" w:eastAsia="仿宋_GB2312"/>
          <w:sz w:val="32"/>
          <w:szCs w:val="32"/>
        </w:rPr>
        <w:t xml:space="preserve"> </w:t>
      </w:r>
      <w:r>
        <w:rPr>
          <w:rFonts w:hint="eastAsia" w:ascii="仿宋_GB2312" w:eastAsia="仿宋_GB2312"/>
          <w:sz w:val="32"/>
          <w:szCs w:val="32"/>
        </w:rPr>
        <w:t xml:space="preserve"> 余姚市</w:t>
      </w:r>
      <w:r>
        <w:rPr>
          <w:rFonts w:ascii="仿宋_GB2312" w:eastAsia="仿宋_GB2312"/>
          <w:sz w:val="32"/>
          <w:szCs w:val="32"/>
        </w:rPr>
        <w:t>应急管理局</w:t>
      </w:r>
      <w:r>
        <w:rPr>
          <w:rFonts w:hint="eastAsia" w:ascii="仿宋_GB2312" w:eastAsia="仿宋_GB2312"/>
          <w:sz w:val="32"/>
          <w:szCs w:val="32"/>
        </w:rPr>
        <w:t>局</w:t>
      </w: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ind w:firstLine="2400" w:firstLineChars="750"/>
        <w:rPr>
          <w:rFonts w:hint="eastAsia" w:ascii="仿宋_GB2312" w:eastAsia="仿宋_GB2312"/>
          <w:sz w:val="32"/>
          <w:szCs w:val="32"/>
        </w:rPr>
      </w:pPr>
      <w:r>
        <w:rPr>
          <w:rFonts w:hint="eastAsia" w:ascii="仿宋_GB2312" w:eastAsia="仿宋_GB2312"/>
          <w:sz w:val="32"/>
          <w:szCs w:val="32"/>
        </w:rPr>
        <w:t>余姚市</w:t>
      </w:r>
      <w:r>
        <w:rPr>
          <w:rFonts w:ascii="仿宋_GB2312" w:eastAsia="仿宋_GB2312"/>
          <w:sz w:val="32"/>
          <w:szCs w:val="32"/>
        </w:rPr>
        <w:t>卫生健康局</w:t>
      </w:r>
    </w:p>
    <w:p>
      <w:pPr>
        <w:spacing w:line="520" w:lineRule="exact"/>
        <w:ind w:left="0" w:firstLine="2400" w:firstLineChars="750"/>
        <w:rPr>
          <w:rFonts w:hint="eastAsia"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hint="eastAsia" w:ascii="仿宋_GB2312" w:eastAsia="仿宋_GB2312"/>
          <w:sz w:val="32"/>
          <w:szCs w:val="32"/>
          <w:lang w:val="en-US" w:eastAsia="zh-CN"/>
        </w:rPr>
        <w:t>23</w:t>
      </w:r>
      <w:bookmarkStart w:id="0" w:name="_GoBack"/>
      <w:bookmarkEnd w:id="0"/>
      <w:r>
        <w:rPr>
          <w:rFonts w:hint="eastAsia" w:ascii="仿宋_GB2312" w:eastAsia="仿宋_GB2312"/>
          <w:sz w:val="32"/>
          <w:szCs w:val="32"/>
        </w:rPr>
        <w:t>日</w:t>
      </w:r>
    </w:p>
    <w:p>
      <w:pPr>
        <w:spacing w:line="200" w:lineRule="exact"/>
        <w:rPr>
          <w:rFonts w:hint="eastAsia" w:ascii="仿宋_GB2312" w:eastAsia="仿宋_GB2312"/>
          <w:sz w:val="32"/>
          <w:szCs w:val="32"/>
        </w:rPr>
      </w:pPr>
    </w:p>
    <w:p>
      <w:pPr>
        <w:spacing w:line="200" w:lineRule="exact"/>
        <w:rPr>
          <w:rFonts w:hint="eastAsia" w:ascii="仿宋_GB2312" w:eastAsia="仿宋_GB2312"/>
          <w:sz w:val="32"/>
          <w:szCs w:val="32"/>
        </w:rPr>
      </w:pPr>
    </w:p>
    <w:p>
      <w:pPr>
        <w:spacing w:line="200" w:lineRule="exact"/>
        <w:rPr>
          <w:rFonts w:hint="eastAsia" w:ascii="仿宋_GB2312" w:eastAsia="仿宋_GB2312"/>
          <w:sz w:val="32"/>
          <w:szCs w:val="32"/>
        </w:rPr>
      </w:pPr>
    </w:p>
    <w:p>
      <w:pPr>
        <w:spacing w:line="200" w:lineRule="exact"/>
        <w:rPr>
          <w:rFonts w:hint="eastAsia" w:ascii="仿宋_GB2312" w:eastAsia="仿宋_GB2312"/>
          <w:sz w:val="32"/>
          <w:szCs w:val="32"/>
        </w:rPr>
      </w:pPr>
    </w:p>
    <w:p>
      <w:pPr>
        <w:spacing w:line="200" w:lineRule="exact"/>
        <w:rPr>
          <w:rFonts w:hint="eastAsia" w:ascii="仿宋_GB2312" w:eastAsia="仿宋_GB2312"/>
          <w:sz w:val="32"/>
          <w:szCs w:val="32"/>
        </w:rPr>
      </w:pPr>
    </w:p>
    <w:p>
      <w:pPr>
        <w:spacing w:line="200" w:lineRule="exact"/>
        <w:rPr>
          <w:rFonts w:ascii="仿宋_GB2312" w:eastAsia="仿宋_GB2312"/>
          <w:sz w:val="32"/>
          <w:szCs w:val="32"/>
        </w:rPr>
      </w:pPr>
    </w:p>
    <w:p>
      <w:pPr>
        <w:spacing w:line="200" w:lineRule="exact"/>
        <w:rPr>
          <w:rFonts w:hint="eastAsia" w:ascii="仿宋_GB2312" w:eastAsia="仿宋_GB2312"/>
          <w:sz w:val="32"/>
          <w:szCs w:val="32"/>
        </w:rPr>
      </w:pPr>
    </w:p>
    <w:p>
      <w:pPr>
        <w:spacing w:line="200" w:lineRule="exact"/>
        <w:rPr>
          <w:rFonts w:hint="eastAsia" w:ascii="仿宋_GB2312" w:eastAsia="仿宋_GB2312"/>
          <w:sz w:val="32"/>
          <w:szCs w:val="32"/>
        </w:rPr>
      </w:pPr>
    </w:p>
    <w:p>
      <w:pPr>
        <w:spacing w:line="200" w:lineRule="exact"/>
        <w:rPr>
          <w:rFonts w:hint="eastAsia" w:ascii="仿宋_GB2312" w:eastAsia="仿宋_GB2312"/>
          <w:sz w:val="32"/>
          <w:szCs w:val="32"/>
        </w:rPr>
      </w:pPr>
    </w:p>
    <w:p>
      <w:pPr>
        <w:spacing w:line="200" w:lineRule="exact"/>
        <w:rPr>
          <w:rFonts w:hint="eastAsia" w:ascii="仿宋_GB2312" w:eastAsia="仿宋_GB2312"/>
          <w:sz w:val="32"/>
          <w:szCs w:val="32"/>
        </w:rPr>
      </w:pPr>
    </w:p>
    <w:p>
      <w:pPr>
        <w:spacing w:line="200" w:lineRule="exact"/>
        <w:rPr>
          <w:rFonts w:hint="eastAsia" w:ascii="仿宋_GB2312" w:eastAsia="仿宋_GB2312"/>
          <w:sz w:val="32"/>
          <w:szCs w:val="32"/>
        </w:rPr>
      </w:pPr>
    </w:p>
    <w:p>
      <w:pPr>
        <w:spacing w:line="200" w:lineRule="exact"/>
        <w:rPr>
          <w:rFonts w:hint="eastAsia" w:ascii="仿宋_GB2312" w:eastAsia="仿宋_GB2312"/>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Borders>
              <w:left w:val="nil"/>
              <w:right w:val="nil"/>
              <w:tl2br w:val="nil"/>
              <w:tr2bl w:val="nil"/>
            </w:tcBorders>
          </w:tcPr>
          <w:p>
            <w:pPr>
              <w:spacing w:line="520" w:lineRule="exact"/>
              <w:rPr>
                <w:rFonts w:hint="eastAsia" w:ascii="仿宋_GB2312" w:eastAsia="仿宋_GB2312"/>
                <w:sz w:val="32"/>
                <w:szCs w:val="32"/>
              </w:rPr>
            </w:pPr>
            <w:r>
              <w:rPr>
                <w:rFonts w:hint="eastAsia" w:ascii="仿宋_GB2312" w:eastAsia="仿宋_GB2312"/>
                <w:sz w:val="32"/>
                <w:szCs w:val="32"/>
              </w:rPr>
              <w:t xml:space="preserve">余姚市人力资源和社会保障局办公室    </w:t>
            </w: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日印发</w:t>
            </w:r>
          </w:p>
        </w:tc>
      </w:tr>
    </w:tbl>
    <w:p>
      <w:pPr>
        <w:widowControl/>
        <w:rPr>
          <w:rFonts w:hint="eastAsia" w:ascii="仿宋_GB2312" w:eastAsia="仿宋_GB2312" w:cs="Calibri"/>
          <w:kern w:val="0"/>
          <w:sz w:val="32"/>
          <w:szCs w:val="32"/>
        </w:rPr>
      </w:pPr>
      <w:r>
        <w:rPr>
          <w:rFonts w:hint="eastAsia" w:ascii="仿宋_GB2312" w:eastAsia="仿宋_GB2312" w:cs="Calibri"/>
          <w:kern w:val="0"/>
          <w:sz w:val="32"/>
          <w:szCs w:val="32"/>
        </w:rPr>
        <w:t>附件1：</w:t>
      </w:r>
    </w:p>
    <w:p>
      <w:pPr>
        <w:widowControl/>
        <w:spacing w:line="560" w:lineRule="exact"/>
        <w:jc w:val="center"/>
        <w:rPr>
          <w:rFonts w:hint="eastAsia" w:ascii="华文中宋" w:eastAsia="华文中宋" w:cs="Calibri"/>
          <w:bCs/>
          <w:kern w:val="0"/>
          <w:sz w:val="44"/>
          <w:szCs w:val="44"/>
        </w:rPr>
      </w:pPr>
      <w:r>
        <w:rPr>
          <w:rFonts w:hint="eastAsia" w:ascii="华文中宋" w:eastAsia="华文中宋" w:cs="Calibri"/>
          <w:bCs/>
          <w:kern w:val="0"/>
          <w:sz w:val="44"/>
          <w:szCs w:val="44"/>
        </w:rPr>
        <w:t>工伤保险行业风险分类表</w:t>
      </w:r>
    </w:p>
    <w:p>
      <w:pPr>
        <w:widowControl/>
        <w:spacing w:line="400" w:lineRule="exact"/>
        <w:jc w:val="center"/>
        <w:rPr>
          <w:rFonts w:hint="eastAsia" w:ascii="方正小标宋简体" w:eastAsia="方正小标宋简体" w:cs="Calibri"/>
          <w:bCs/>
          <w:kern w:val="0"/>
          <w:sz w:val="44"/>
          <w:szCs w:val="44"/>
        </w:rPr>
      </w:pPr>
    </w:p>
    <w:tbl>
      <w:tblPr>
        <w:tblStyle w:val="6"/>
        <w:tblW w:w="91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7"/>
        <w:gridCol w:w="7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rPr>
                <w:rFonts w:hint="eastAsia" w:ascii="宋体" w:cs="宋体"/>
                <w:kern w:val="0"/>
                <w:sz w:val="24"/>
              </w:rPr>
            </w:pPr>
            <w:r>
              <w:rPr>
                <w:rFonts w:hint="eastAsia" w:ascii="宋体" w:cs="宋体"/>
                <w:kern w:val="0"/>
                <w:sz w:val="24"/>
              </w:rPr>
              <w:t>行业类别</w:t>
            </w:r>
          </w:p>
        </w:tc>
        <w:tc>
          <w:tcPr>
            <w:tcW w:w="7460" w:type="dxa"/>
            <w:tcBorders>
              <w:top w:val="single" w:color="000000" w:sz="4" w:space="0"/>
              <w:left w:val="nil"/>
              <w:bottom w:val="single" w:color="000000" w:sz="4" w:space="0"/>
              <w:right w:val="single" w:color="000000" w:sz="4" w:space="0"/>
              <w:tl2br w:val="nil"/>
              <w:tr2bl w:val="nil"/>
            </w:tcBorders>
            <w:vAlign w:val="center"/>
          </w:tcPr>
          <w:p>
            <w:pPr>
              <w:widowControl/>
              <w:spacing w:line="360" w:lineRule="auto"/>
              <w:jc w:val="center"/>
              <w:rPr>
                <w:rFonts w:hint="eastAsia" w:ascii="宋体" w:cs="宋体"/>
                <w:kern w:val="0"/>
                <w:sz w:val="24"/>
              </w:rPr>
            </w:pPr>
            <w:r>
              <w:rPr>
                <w:rFonts w:hint="eastAsia" w:ascii="宋体" w:cs="宋体"/>
                <w:kern w:val="0"/>
                <w:sz w:val="24"/>
              </w:rPr>
              <w:t>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rPr>
                <w:rFonts w:hint="eastAsia" w:ascii="宋体" w:cs="宋体"/>
                <w:kern w:val="0"/>
                <w:sz w:val="24"/>
              </w:rPr>
            </w:pPr>
            <w:r>
              <w:rPr>
                <w:rFonts w:hint="eastAsia" w:ascii="宋体" w:cs="宋体"/>
                <w:kern w:val="0"/>
                <w:sz w:val="24"/>
              </w:rPr>
              <w:t>一</w:t>
            </w:r>
          </w:p>
        </w:tc>
        <w:tc>
          <w:tcPr>
            <w:tcW w:w="7460" w:type="dxa"/>
            <w:tcBorders>
              <w:top w:val="single" w:color="000000" w:sz="4" w:space="0"/>
              <w:left w:val="nil"/>
              <w:bottom w:val="single" w:color="000000" w:sz="4" w:space="0"/>
              <w:right w:val="single" w:color="000000" w:sz="4" w:space="0"/>
              <w:tl2br w:val="nil"/>
              <w:tr2bl w:val="nil"/>
            </w:tcBorders>
          </w:tcPr>
          <w:p>
            <w:pPr>
              <w:widowControl/>
              <w:spacing w:line="360" w:lineRule="auto"/>
              <w:jc w:val="left"/>
              <w:rPr>
                <w:rFonts w:hint="eastAsia" w:ascii="宋体" w:cs="宋体"/>
                <w:kern w:val="0"/>
                <w:sz w:val="24"/>
              </w:rPr>
            </w:pPr>
            <w:r>
              <w:rPr>
                <w:rFonts w:hint="eastAsia" w:ascii="宋体" w:cs="宋体"/>
                <w:kern w:val="0"/>
                <w:sz w:val="24"/>
              </w:rPr>
              <w:t>软件和信息技术服务业，货币金融服务，资本市场服务，保险业，其他金融业，科技推广和应用服务业，社会工作，广播、电视、电影和影视录音制作业，中国共产党机关，国家机构，人民政协、民主党派，社会保障，群众团体、社会团体和其他成员组织，基层群众自治组织，国际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rPr>
                <w:rFonts w:hint="eastAsia" w:ascii="宋体" w:cs="宋体"/>
                <w:kern w:val="0"/>
                <w:sz w:val="24"/>
              </w:rPr>
            </w:pPr>
            <w:r>
              <w:rPr>
                <w:rFonts w:hint="eastAsia" w:ascii="宋体" w:cs="宋体"/>
                <w:kern w:val="0"/>
                <w:sz w:val="24"/>
              </w:rPr>
              <w:t>二</w:t>
            </w:r>
          </w:p>
        </w:tc>
        <w:tc>
          <w:tcPr>
            <w:tcW w:w="7460" w:type="dxa"/>
            <w:tcBorders>
              <w:top w:val="single" w:color="000000" w:sz="4" w:space="0"/>
              <w:left w:val="nil"/>
              <w:bottom w:val="single" w:color="000000" w:sz="4" w:space="0"/>
              <w:right w:val="single" w:color="000000" w:sz="4" w:space="0"/>
              <w:tl2br w:val="nil"/>
              <w:tr2bl w:val="nil"/>
            </w:tcBorders>
          </w:tcPr>
          <w:p>
            <w:pPr>
              <w:widowControl/>
              <w:spacing w:line="360" w:lineRule="auto"/>
              <w:jc w:val="left"/>
              <w:rPr>
                <w:rFonts w:hint="eastAsia" w:ascii="宋体" w:cs="宋体"/>
                <w:kern w:val="0"/>
                <w:sz w:val="24"/>
              </w:rPr>
            </w:pPr>
            <w:r>
              <w:rPr>
                <w:rFonts w:hint="eastAsia" w:ascii="宋体" w:cs="宋体"/>
                <w:kern w:val="0"/>
                <w:sz w:val="24"/>
              </w:rPr>
              <w:t>批发业，零售业，仓储业，邮政业，住宿业，餐饮业，电信、广播电视和卫星传输服务，互联网和相关服务，房地产业，租赁业，商务服务业，研究和试验发展，专业技术服务业，居民服务业，其他服务业，教育，卫生，新闻和出版业，文化艺术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rPr>
                <w:rFonts w:hint="eastAsia" w:ascii="宋体" w:cs="宋体"/>
                <w:kern w:val="0"/>
                <w:sz w:val="24"/>
              </w:rPr>
            </w:pPr>
            <w:r>
              <w:rPr>
                <w:rFonts w:hint="eastAsia" w:ascii="宋体" w:cs="宋体"/>
                <w:kern w:val="0"/>
                <w:sz w:val="24"/>
              </w:rPr>
              <w:t>三</w:t>
            </w:r>
          </w:p>
        </w:tc>
        <w:tc>
          <w:tcPr>
            <w:tcW w:w="7460" w:type="dxa"/>
            <w:tcBorders>
              <w:top w:val="single" w:color="000000" w:sz="4" w:space="0"/>
              <w:left w:val="nil"/>
              <w:bottom w:val="single" w:color="000000" w:sz="4" w:space="0"/>
              <w:right w:val="single" w:color="000000" w:sz="4" w:space="0"/>
              <w:tl2br w:val="nil"/>
              <w:tr2bl w:val="nil"/>
            </w:tcBorders>
          </w:tcPr>
          <w:p>
            <w:pPr>
              <w:widowControl/>
              <w:spacing w:line="360" w:lineRule="auto"/>
              <w:jc w:val="left"/>
              <w:rPr>
                <w:rFonts w:hint="eastAsia" w:ascii="宋体" w:cs="宋体"/>
                <w:kern w:val="0"/>
                <w:sz w:val="24"/>
              </w:rPr>
            </w:pPr>
            <w:r>
              <w:rPr>
                <w:rFonts w:hint="eastAsia" w:ascii="宋体" w:cs="宋体"/>
                <w:kern w:val="0"/>
                <w:sz w:val="24"/>
              </w:rPr>
              <w:t>农副食品加工业，食品制造业，酒、饮料和精制茶制造业，烟草制品业 ，纺织业，木材加工和木、竹、藤、棕、草制品业，文教、工美、体育和娱乐用品制造业，计算机、通信和其他电子设备制造业，仪器仪表制造业，其他制造业,水的生产和供应业，机动车、电子产品和日用产品修理业，水利管理业，生态保护和环境治理业，公共设施管理业，娱乐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rPr>
                <w:rFonts w:hint="eastAsia" w:ascii="宋体" w:cs="宋体"/>
                <w:kern w:val="0"/>
                <w:sz w:val="24"/>
              </w:rPr>
            </w:pPr>
            <w:r>
              <w:rPr>
                <w:rFonts w:hint="eastAsia" w:ascii="宋体" w:cs="宋体"/>
                <w:kern w:val="0"/>
                <w:sz w:val="24"/>
              </w:rPr>
              <w:t>四</w:t>
            </w:r>
          </w:p>
        </w:tc>
        <w:tc>
          <w:tcPr>
            <w:tcW w:w="7460" w:type="dxa"/>
            <w:tcBorders>
              <w:top w:val="single" w:color="000000" w:sz="4" w:space="0"/>
              <w:left w:val="nil"/>
              <w:bottom w:val="single" w:color="000000" w:sz="4" w:space="0"/>
              <w:right w:val="single" w:color="000000" w:sz="4" w:space="0"/>
              <w:tl2br w:val="nil"/>
              <w:tr2bl w:val="nil"/>
            </w:tcBorders>
          </w:tcPr>
          <w:p>
            <w:pPr>
              <w:widowControl/>
              <w:spacing w:line="360" w:lineRule="auto"/>
              <w:jc w:val="left"/>
              <w:rPr>
                <w:rFonts w:hint="eastAsia" w:ascii="宋体" w:cs="宋体"/>
                <w:kern w:val="0"/>
                <w:sz w:val="24"/>
              </w:rPr>
            </w:pPr>
            <w:r>
              <w:rPr>
                <w:rFonts w:hint="eastAsia" w:ascii="宋体" w:cs="宋体"/>
                <w:kern w:val="0"/>
                <w:sz w:val="24"/>
              </w:rPr>
              <w:t>农业，畜牧业，农、林、牧、渔服务业，纺织服装、服饰业，皮革、毛皮、羽毛及其制品和制鞋业，印刷和记录媒介复制业，医药制造业，化学纤维制造业，橡胶和塑料制品业，金属制品业，通用设备制造业，专用设备制造业，汽车制造业，铁路、船舶、航空航天和其他运输设备制造业，电气机械和器材制造业，废弃资源综合利用业，金属制品、机械和设备修理业，电力、热力生产和供应业，燃气生产和供应业，铁路运输业，航空运输业，管道运输业，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rPr>
                <w:rFonts w:hint="eastAsia" w:ascii="宋体" w:cs="宋体"/>
                <w:kern w:val="0"/>
                <w:sz w:val="24"/>
              </w:rPr>
            </w:pPr>
            <w:r>
              <w:rPr>
                <w:rFonts w:hint="eastAsia" w:ascii="宋体" w:cs="宋体"/>
                <w:kern w:val="0"/>
                <w:sz w:val="24"/>
              </w:rPr>
              <w:t>五</w:t>
            </w:r>
          </w:p>
        </w:tc>
        <w:tc>
          <w:tcPr>
            <w:tcW w:w="7460" w:type="dxa"/>
            <w:tcBorders>
              <w:top w:val="single" w:color="000000" w:sz="4" w:space="0"/>
              <w:left w:val="nil"/>
              <w:bottom w:val="single" w:color="000000" w:sz="4" w:space="0"/>
              <w:right w:val="single" w:color="000000" w:sz="4" w:space="0"/>
              <w:tl2br w:val="nil"/>
              <w:tr2bl w:val="nil"/>
            </w:tcBorders>
          </w:tcPr>
          <w:p>
            <w:pPr>
              <w:widowControl/>
              <w:spacing w:line="360" w:lineRule="auto"/>
              <w:jc w:val="left"/>
              <w:rPr>
                <w:rFonts w:hint="eastAsia" w:ascii="宋体" w:cs="宋体"/>
                <w:kern w:val="0"/>
                <w:sz w:val="24"/>
              </w:rPr>
            </w:pPr>
            <w:r>
              <w:rPr>
                <w:rFonts w:hint="eastAsia" w:ascii="宋体" w:cs="宋体"/>
                <w:kern w:val="0"/>
                <w:sz w:val="24"/>
              </w:rPr>
              <w:t>林业，开采辅助活动，家具制造业，造纸和纸制品业，建筑安装业，建筑装饰和其他建筑业，道路运输业，水上运输业，装卸搬运和运输代理业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rPr>
                <w:rFonts w:hint="eastAsia" w:ascii="宋体" w:cs="宋体"/>
                <w:kern w:val="0"/>
                <w:sz w:val="24"/>
              </w:rPr>
            </w:pPr>
            <w:r>
              <w:rPr>
                <w:rFonts w:hint="eastAsia" w:ascii="宋体" w:cs="宋体"/>
                <w:kern w:val="0"/>
                <w:sz w:val="24"/>
              </w:rPr>
              <w:t>六</w:t>
            </w:r>
          </w:p>
        </w:tc>
        <w:tc>
          <w:tcPr>
            <w:tcW w:w="7460" w:type="dxa"/>
            <w:tcBorders>
              <w:top w:val="single" w:color="000000" w:sz="4" w:space="0"/>
              <w:left w:val="nil"/>
              <w:bottom w:val="single" w:color="000000" w:sz="4" w:space="0"/>
              <w:right w:val="single" w:color="000000" w:sz="4" w:space="0"/>
              <w:tl2br w:val="nil"/>
              <w:tr2bl w:val="nil"/>
            </w:tcBorders>
          </w:tcPr>
          <w:p>
            <w:pPr>
              <w:widowControl/>
              <w:spacing w:line="360" w:lineRule="auto"/>
              <w:jc w:val="left"/>
              <w:rPr>
                <w:rFonts w:hint="eastAsia" w:ascii="宋体" w:cs="宋体"/>
                <w:kern w:val="0"/>
                <w:sz w:val="24"/>
              </w:rPr>
            </w:pPr>
            <w:r>
              <w:rPr>
                <w:rFonts w:hint="eastAsia" w:ascii="宋体" w:cs="宋体"/>
                <w:kern w:val="0"/>
                <w:sz w:val="24"/>
              </w:rPr>
              <w:t>渔业，化学原料和化学制品制造业，非金属矿物制品业，黑色金属冶炼和压延加工业，有色金属冶炼和压延加工业，房屋建筑业，土木工程建筑业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rPr>
                <w:rFonts w:hint="eastAsia" w:ascii="宋体" w:cs="宋体"/>
                <w:kern w:val="0"/>
                <w:sz w:val="24"/>
              </w:rPr>
            </w:pPr>
            <w:r>
              <w:rPr>
                <w:rFonts w:hint="eastAsia" w:ascii="宋体" w:cs="宋体"/>
                <w:kern w:val="0"/>
                <w:sz w:val="24"/>
              </w:rPr>
              <w:t>七</w:t>
            </w:r>
          </w:p>
        </w:tc>
        <w:tc>
          <w:tcPr>
            <w:tcW w:w="7460" w:type="dxa"/>
            <w:tcBorders>
              <w:top w:val="single" w:color="000000" w:sz="4" w:space="0"/>
              <w:left w:val="nil"/>
              <w:bottom w:val="single" w:color="000000" w:sz="4" w:space="0"/>
              <w:right w:val="single" w:color="000000" w:sz="4" w:space="0"/>
              <w:tl2br w:val="nil"/>
              <w:tr2bl w:val="nil"/>
            </w:tcBorders>
          </w:tcPr>
          <w:p>
            <w:pPr>
              <w:widowControl/>
              <w:spacing w:line="240" w:lineRule="exact"/>
              <w:jc w:val="left"/>
              <w:rPr>
                <w:rFonts w:hint="eastAsia" w:ascii="宋体" w:cs="宋体"/>
                <w:kern w:val="0"/>
                <w:sz w:val="24"/>
              </w:rPr>
            </w:pPr>
          </w:p>
          <w:p>
            <w:pPr>
              <w:widowControl/>
              <w:spacing w:line="360" w:lineRule="auto"/>
              <w:jc w:val="left"/>
              <w:rPr>
                <w:rFonts w:hint="eastAsia" w:ascii="宋体" w:cs="宋体"/>
                <w:kern w:val="0"/>
                <w:sz w:val="24"/>
              </w:rPr>
            </w:pPr>
            <w:r>
              <w:rPr>
                <w:rFonts w:hint="eastAsia" w:ascii="宋体" w:cs="宋体"/>
                <w:kern w:val="0"/>
                <w:sz w:val="24"/>
              </w:rPr>
              <w:t>石油和天然气开采业，其他采矿业，石油加工、炼焦和核燃料加工业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167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rPr>
                <w:rFonts w:hint="eastAsia" w:ascii="宋体" w:cs="宋体"/>
                <w:kern w:val="0"/>
                <w:sz w:val="24"/>
              </w:rPr>
            </w:pPr>
            <w:r>
              <w:rPr>
                <w:rFonts w:hint="eastAsia" w:ascii="宋体" w:cs="宋体"/>
                <w:kern w:val="0"/>
                <w:sz w:val="24"/>
              </w:rPr>
              <w:t>八</w:t>
            </w:r>
          </w:p>
        </w:tc>
        <w:tc>
          <w:tcPr>
            <w:tcW w:w="7460" w:type="dxa"/>
            <w:tcBorders>
              <w:top w:val="single" w:color="000000" w:sz="4" w:space="0"/>
              <w:left w:val="nil"/>
              <w:bottom w:val="single" w:color="000000" w:sz="4" w:space="0"/>
              <w:right w:val="single" w:color="000000" w:sz="4" w:space="0"/>
              <w:tl2br w:val="nil"/>
              <w:tr2bl w:val="nil"/>
            </w:tcBorders>
          </w:tcPr>
          <w:p>
            <w:pPr>
              <w:widowControl/>
              <w:spacing w:line="360" w:lineRule="auto"/>
              <w:jc w:val="left"/>
              <w:rPr>
                <w:rFonts w:hint="eastAsia" w:ascii="宋体" w:cs="宋体"/>
                <w:kern w:val="0"/>
                <w:sz w:val="24"/>
              </w:rPr>
            </w:pPr>
            <w:r>
              <w:rPr>
                <w:rFonts w:hint="eastAsia" w:ascii="宋体" w:cs="宋体"/>
                <w:kern w:val="0"/>
                <w:sz w:val="24"/>
              </w:rPr>
              <w:t>煤炭开采和洗选业，黑色金属矿采选业，有色金属矿采选业，非金属矿采选业</w:t>
            </w:r>
          </w:p>
        </w:tc>
      </w:tr>
    </w:tbl>
    <w:p>
      <w:pPr>
        <w:widowControl/>
        <w:rPr>
          <w:rFonts w:cs="Calibri"/>
          <w:kern w:val="0"/>
          <w:szCs w:val="21"/>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rPr>
          <w:rFonts w:ascii="仿宋_GB2312" w:eastAsia="仿宋_GB2312"/>
          <w:sz w:val="32"/>
          <w:szCs w:val="32"/>
        </w:rPr>
        <w:sectPr>
          <w:footerReference r:id="rId3" w:type="default"/>
          <w:footerReference r:id="rId4" w:type="even"/>
          <w:pgSz w:w="11906" w:h="16838"/>
          <w:pgMar w:top="1440" w:right="1440" w:bottom="1440" w:left="1440" w:header="851" w:footer="992" w:gutter="0"/>
          <w:pgNumType w:fmt="numberInDash"/>
          <w:docGrid w:type="lines" w:linePitch="312" w:charSpace="0"/>
        </w:sectPr>
      </w:pPr>
    </w:p>
    <w:p>
      <w:pPr>
        <w:rPr>
          <w:rFonts w:hint="eastAsia" w:ascii="仿宋_GB2312" w:eastAsia="仿宋_GB2312"/>
          <w:sz w:val="32"/>
          <w:szCs w:val="32"/>
        </w:rPr>
      </w:pPr>
      <w:r>
        <w:rPr>
          <w:rFonts w:hint="eastAsia" w:ascii="仿宋_GB2312" w:eastAsia="仿宋_GB2312"/>
          <w:sz w:val="32"/>
          <w:szCs w:val="32"/>
        </w:rPr>
        <w:t>附件2：</w:t>
      </w:r>
    </w:p>
    <w:p>
      <w:pPr>
        <w:spacing w:line="420" w:lineRule="exact"/>
        <w:jc w:val="center"/>
        <w:rPr>
          <w:rFonts w:hint="eastAsia" w:ascii="华文中宋" w:eastAsia="华文中宋"/>
          <w:sz w:val="36"/>
          <w:szCs w:val="36"/>
        </w:rPr>
      </w:pPr>
      <w:r>
        <w:rPr>
          <w:rFonts w:hint="eastAsia" w:ascii="华文中宋" w:eastAsia="华文中宋"/>
          <w:sz w:val="36"/>
          <w:szCs w:val="36"/>
        </w:rPr>
        <w:t>余姚市工伤保险基准费率及费率浮动表</w:t>
      </w:r>
    </w:p>
    <w:p>
      <w:pPr>
        <w:spacing w:line="400" w:lineRule="exact"/>
        <w:jc w:val="center"/>
        <w:rPr>
          <w:rFonts w:hint="eastAsia" w:ascii="华文中宋" w:eastAsia="华文中宋"/>
          <w:sz w:val="36"/>
          <w:szCs w:val="36"/>
        </w:rPr>
      </w:pPr>
    </w:p>
    <w:tbl>
      <w:tblPr>
        <w:tblStyle w:val="6"/>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803"/>
        <w:gridCol w:w="2340"/>
        <w:gridCol w:w="2340"/>
        <w:gridCol w:w="2340"/>
        <w:gridCol w:w="25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vMerge w:val="restart"/>
            <w:tcBorders>
              <w:tl2br w:val="nil"/>
              <w:tr2bl w:val="nil"/>
            </w:tcBorders>
            <w:vAlign w:val="center"/>
          </w:tcPr>
          <w:p>
            <w:pPr>
              <w:spacing w:line="380" w:lineRule="exact"/>
              <w:jc w:val="center"/>
              <w:rPr>
                <w:rFonts w:hint="eastAsia" w:ascii="宋体"/>
                <w:sz w:val="30"/>
                <w:szCs w:val="30"/>
              </w:rPr>
            </w:pPr>
            <w:r>
              <w:rPr>
                <w:rFonts w:hint="eastAsia" w:ascii="宋体"/>
                <w:sz w:val="30"/>
                <w:szCs w:val="30"/>
              </w:rPr>
              <w:t>行业类别</w:t>
            </w:r>
          </w:p>
        </w:tc>
        <w:tc>
          <w:tcPr>
            <w:tcW w:w="11880" w:type="dxa"/>
            <w:gridSpan w:val="5"/>
            <w:tcBorders>
              <w:tl2br w:val="nil"/>
              <w:tr2bl w:val="nil"/>
            </w:tcBorders>
          </w:tcPr>
          <w:p>
            <w:pPr>
              <w:spacing w:line="380" w:lineRule="exact"/>
              <w:jc w:val="center"/>
              <w:rPr>
                <w:rFonts w:hint="eastAsia" w:ascii="宋体"/>
                <w:sz w:val="30"/>
                <w:szCs w:val="30"/>
              </w:rPr>
            </w:pPr>
            <w:r>
              <w:rPr>
                <w:rFonts w:hint="eastAsia" w:ascii="宋体"/>
                <w:sz w:val="30"/>
                <w:szCs w:val="30"/>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vMerge w:val="continue"/>
            <w:tcBorders>
              <w:tl2br w:val="nil"/>
              <w:tr2bl w:val="nil"/>
            </w:tcBorders>
          </w:tcPr>
          <w:p/>
        </w:tc>
        <w:tc>
          <w:tcPr>
            <w:tcW w:w="2340" w:type="dxa"/>
            <w:tcBorders>
              <w:tl2br w:val="nil"/>
              <w:tr2bl w:val="nil"/>
            </w:tcBorders>
          </w:tcPr>
          <w:p>
            <w:pPr>
              <w:spacing w:line="380" w:lineRule="exact"/>
              <w:jc w:val="center"/>
              <w:rPr>
                <w:rFonts w:hint="eastAsia" w:ascii="宋体"/>
                <w:sz w:val="30"/>
                <w:szCs w:val="30"/>
              </w:rPr>
            </w:pPr>
            <w:r>
              <w:rPr>
                <w:rFonts w:hint="eastAsia" w:ascii="宋体"/>
                <w:sz w:val="30"/>
                <w:szCs w:val="30"/>
              </w:rPr>
              <w:t>下浮二档</w:t>
            </w:r>
          </w:p>
        </w:tc>
        <w:tc>
          <w:tcPr>
            <w:tcW w:w="2340" w:type="dxa"/>
            <w:tcBorders>
              <w:tl2br w:val="nil"/>
              <w:tr2bl w:val="nil"/>
            </w:tcBorders>
          </w:tcPr>
          <w:p>
            <w:pPr>
              <w:spacing w:line="380" w:lineRule="exact"/>
              <w:jc w:val="center"/>
              <w:rPr>
                <w:rFonts w:hint="eastAsia" w:ascii="宋体"/>
                <w:sz w:val="30"/>
                <w:szCs w:val="30"/>
              </w:rPr>
            </w:pPr>
            <w:r>
              <w:rPr>
                <w:rFonts w:hint="eastAsia" w:ascii="宋体"/>
                <w:sz w:val="30"/>
                <w:szCs w:val="30"/>
              </w:rPr>
              <w:t>下浮一档</w:t>
            </w:r>
          </w:p>
        </w:tc>
        <w:tc>
          <w:tcPr>
            <w:tcW w:w="2340" w:type="dxa"/>
            <w:tcBorders>
              <w:tl2br w:val="nil"/>
              <w:tr2bl w:val="nil"/>
            </w:tcBorders>
          </w:tcPr>
          <w:p>
            <w:pPr>
              <w:spacing w:line="380" w:lineRule="exact"/>
              <w:jc w:val="center"/>
              <w:rPr>
                <w:rFonts w:hint="eastAsia" w:ascii="宋体"/>
                <w:sz w:val="30"/>
                <w:szCs w:val="30"/>
              </w:rPr>
            </w:pPr>
            <w:r>
              <w:rPr>
                <w:rFonts w:hint="eastAsia" w:ascii="宋体"/>
                <w:sz w:val="30"/>
                <w:szCs w:val="30"/>
              </w:rPr>
              <w:t>基准费率</w:t>
            </w:r>
          </w:p>
        </w:tc>
        <w:tc>
          <w:tcPr>
            <w:tcW w:w="2520" w:type="dxa"/>
            <w:tcBorders>
              <w:tl2br w:val="nil"/>
              <w:tr2bl w:val="nil"/>
            </w:tcBorders>
          </w:tcPr>
          <w:p>
            <w:pPr>
              <w:spacing w:line="380" w:lineRule="exact"/>
              <w:jc w:val="center"/>
              <w:rPr>
                <w:rFonts w:hint="eastAsia" w:ascii="宋体"/>
                <w:sz w:val="30"/>
                <w:szCs w:val="30"/>
              </w:rPr>
            </w:pPr>
            <w:r>
              <w:rPr>
                <w:rFonts w:hint="eastAsia" w:ascii="宋体"/>
                <w:sz w:val="30"/>
                <w:szCs w:val="30"/>
              </w:rPr>
              <w:t>上浮一档</w:t>
            </w:r>
          </w:p>
        </w:tc>
        <w:tc>
          <w:tcPr>
            <w:tcW w:w="2340" w:type="dxa"/>
            <w:tcBorders>
              <w:tl2br w:val="nil"/>
              <w:tr2bl w:val="nil"/>
            </w:tcBorders>
          </w:tcPr>
          <w:p>
            <w:pPr>
              <w:spacing w:line="380" w:lineRule="exact"/>
              <w:jc w:val="center"/>
              <w:rPr>
                <w:rFonts w:hint="eastAsia" w:ascii="宋体"/>
                <w:sz w:val="28"/>
                <w:szCs w:val="28"/>
              </w:rPr>
            </w:pPr>
            <w:r>
              <w:rPr>
                <w:rFonts w:hint="eastAsia" w:ascii="宋体"/>
                <w:sz w:val="28"/>
                <w:szCs w:val="28"/>
              </w:rPr>
              <w:t>上浮二档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tcBorders>
              <w:tl2br w:val="nil"/>
              <w:tr2bl w:val="nil"/>
            </w:tcBorders>
          </w:tcPr>
          <w:p>
            <w:pPr>
              <w:spacing w:line="380" w:lineRule="exact"/>
              <w:jc w:val="center"/>
              <w:rPr>
                <w:rFonts w:hint="eastAsia" w:ascii="宋体"/>
                <w:sz w:val="28"/>
                <w:szCs w:val="28"/>
              </w:rPr>
            </w:pPr>
            <w:r>
              <w:rPr>
                <w:rFonts w:hint="eastAsia" w:ascii="宋体"/>
                <w:sz w:val="28"/>
                <w:szCs w:val="28"/>
              </w:rPr>
              <w:t>一</w:t>
            </w:r>
          </w:p>
        </w:tc>
        <w:tc>
          <w:tcPr>
            <w:tcW w:w="2340" w:type="dxa"/>
            <w:tcBorders>
              <w:tl2br w:val="nil"/>
              <w:tr2bl w:val="nil"/>
            </w:tcBorders>
          </w:tcPr>
          <w:p>
            <w:pPr>
              <w:spacing w:line="380" w:lineRule="exact"/>
              <w:jc w:val="center"/>
              <w:rPr>
                <w:rFonts w:hint="eastAsia" w:ascii="仿宋_GB2312" w:eastAsia="仿宋_GB2312"/>
                <w:sz w:val="28"/>
                <w:szCs w:val="28"/>
              </w:rPr>
            </w:pPr>
          </w:p>
        </w:tc>
        <w:tc>
          <w:tcPr>
            <w:tcW w:w="2340" w:type="dxa"/>
            <w:tcBorders>
              <w:tl2br w:val="nil"/>
              <w:tr2bl w:val="nil"/>
            </w:tcBorders>
          </w:tcPr>
          <w:p>
            <w:pPr>
              <w:spacing w:line="380" w:lineRule="exact"/>
              <w:jc w:val="center"/>
              <w:rPr>
                <w:rFonts w:hint="eastAsia" w:ascii="仿宋_GB2312" w:eastAsia="仿宋_GB2312"/>
                <w:sz w:val="28"/>
                <w:szCs w:val="28"/>
              </w:rPr>
            </w:pP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0.30</w:t>
            </w:r>
          </w:p>
        </w:tc>
        <w:tc>
          <w:tcPr>
            <w:tcW w:w="252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0.36</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tcBorders>
              <w:tl2br w:val="nil"/>
              <w:tr2bl w:val="nil"/>
            </w:tcBorders>
          </w:tcPr>
          <w:p>
            <w:pPr>
              <w:spacing w:line="380" w:lineRule="exact"/>
              <w:jc w:val="center"/>
              <w:rPr>
                <w:rFonts w:hint="eastAsia" w:ascii="宋体"/>
                <w:sz w:val="28"/>
                <w:szCs w:val="28"/>
              </w:rPr>
            </w:pPr>
            <w:r>
              <w:rPr>
                <w:rFonts w:hint="eastAsia" w:ascii="宋体"/>
                <w:sz w:val="28"/>
                <w:szCs w:val="28"/>
              </w:rPr>
              <w:t>二</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0.30</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0.48</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0.60</w:t>
            </w:r>
          </w:p>
        </w:tc>
        <w:tc>
          <w:tcPr>
            <w:tcW w:w="252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0.72</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tcBorders>
              <w:tl2br w:val="nil"/>
              <w:tr2bl w:val="nil"/>
            </w:tcBorders>
          </w:tcPr>
          <w:p>
            <w:pPr>
              <w:spacing w:line="380" w:lineRule="exact"/>
              <w:jc w:val="center"/>
              <w:rPr>
                <w:rFonts w:hint="eastAsia" w:ascii="宋体"/>
                <w:sz w:val="28"/>
                <w:szCs w:val="28"/>
              </w:rPr>
            </w:pPr>
            <w:r>
              <w:rPr>
                <w:rFonts w:hint="eastAsia" w:ascii="宋体"/>
                <w:sz w:val="28"/>
                <w:szCs w:val="28"/>
              </w:rPr>
              <w:t>三</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0.50</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0.80</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1.00</w:t>
            </w:r>
          </w:p>
        </w:tc>
        <w:tc>
          <w:tcPr>
            <w:tcW w:w="252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1.20</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tcBorders>
              <w:tl2br w:val="nil"/>
              <w:tr2bl w:val="nil"/>
            </w:tcBorders>
          </w:tcPr>
          <w:p>
            <w:pPr>
              <w:spacing w:line="380" w:lineRule="exact"/>
              <w:jc w:val="center"/>
              <w:rPr>
                <w:rFonts w:hint="eastAsia" w:ascii="宋体"/>
                <w:sz w:val="28"/>
                <w:szCs w:val="28"/>
              </w:rPr>
            </w:pPr>
            <w:r>
              <w:rPr>
                <w:rFonts w:hint="eastAsia" w:ascii="宋体"/>
                <w:sz w:val="28"/>
                <w:szCs w:val="28"/>
              </w:rPr>
              <w:t>四</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0.67</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1.08</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1.35</w:t>
            </w:r>
          </w:p>
        </w:tc>
        <w:tc>
          <w:tcPr>
            <w:tcW w:w="252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1.62</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tcBorders>
              <w:tl2br w:val="nil"/>
              <w:tr2bl w:val="nil"/>
            </w:tcBorders>
          </w:tcPr>
          <w:p>
            <w:pPr>
              <w:spacing w:line="380" w:lineRule="exact"/>
              <w:jc w:val="center"/>
              <w:rPr>
                <w:rFonts w:hint="eastAsia" w:ascii="宋体"/>
                <w:sz w:val="28"/>
                <w:szCs w:val="28"/>
              </w:rPr>
            </w:pPr>
            <w:r>
              <w:rPr>
                <w:rFonts w:hint="eastAsia" w:ascii="宋体"/>
                <w:sz w:val="28"/>
                <w:szCs w:val="28"/>
              </w:rPr>
              <w:t>五</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0.82</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1.32</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1.65</w:t>
            </w:r>
          </w:p>
        </w:tc>
        <w:tc>
          <w:tcPr>
            <w:tcW w:w="252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1.98</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tcBorders>
              <w:tl2br w:val="nil"/>
              <w:tr2bl w:val="nil"/>
            </w:tcBorders>
          </w:tcPr>
          <w:p>
            <w:pPr>
              <w:spacing w:line="380" w:lineRule="exact"/>
              <w:jc w:val="center"/>
              <w:rPr>
                <w:rFonts w:hint="eastAsia" w:ascii="宋体"/>
                <w:sz w:val="28"/>
                <w:szCs w:val="28"/>
              </w:rPr>
            </w:pPr>
            <w:r>
              <w:rPr>
                <w:rFonts w:hint="eastAsia" w:ascii="宋体"/>
                <w:sz w:val="28"/>
                <w:szCs w:val="28"/>
              </w:rPr>
              <w:t>六</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0.97</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1.56</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1.95</w:t>
            </w:r>
          </w:p>
        </w:tc>
        <w:tc>
          <w:tcPr>
            <w:tcW w:w="252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2.34</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tcBorders>
              <w:tl2br w:val="nil"/>
              <w:tr2bl w:val="nil"/>
            </w:tcBorders>
          </w:tcPr>
          <w:p>
            <w:pPr>
              <w:spacing w:line="380" w:lineRule="exact"/>
              <w:jc w:val="center"/>
              <w:rPr>
                <w:rFonts w:hint="eastAsia" w:ascii="宋体"/>
                <w:sz w:val="28"/>
                <w:szCs w:val="28"/>
              </w:rPr>
            </w:pPr>
            <w:r>
              <w:rPr>
                <w:rFonts w:hint="eastAsia" w:ascii="宋体"/>
                <w:sz w:val="28"/>
                <w:szCs w:val="28"/>
              </w:rPr>
              <w:t>七</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1.20</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1.92</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2.40</w:t>
            </w:r>
          </w:p>
        </w:tc>
        <w:tc>
          <w:tcPr>
            <w:tcW w:w="252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2.88</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gridSpan w:val="2"/>
            <w:tcBorders>
              <w:tl2br w:val="nil"/>
              <w:tr2bl w:val="nil"/>
            </w:tcBorders>
          </w:tcPr>
          <w:p>
            <w:pPr>
              <w:spacing w:line="380" w:lineRule="exact"/>
              <w:jc w:val="center"/>
              <w:rPr>
                <w:rFonts w:hint="eastAsia" w:ascii="宋体"/>
                <w:sz w:val="28"/>
                <w:szCs w:val="28"/>
              </w:rPr>
            </w:pPr>
            <w:r>
              <w:rPr>
                <w:rFonts w:hint="eastAsia" w:ascii="宋体"/>
                <w:sz w:val="28"/>
                <w:szCs w:val="28"/>
              </w:rPr>
              <w:t>八</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1.42</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2.28</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2.85</w:t>
            </w:r>
          </w:p>
        </w:tc>
        <w:tc>
          <w:tcPr>
            <w:tcW w:w="252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3.42</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Merge w:val="restart"/>
            <w:tcBorders>
              <w:tl2br w:val="nil"/>
              <w:tr2bl w:val="nil"/>
            </w:tcBorders>
            <w:vAlign w:val="center"/>
          </w:tcPr>
          <w:p>
            <w:pPr>
              <w:spacing w:line="360" w:lineRule="exact"/>
              <w:jc w:val="center"/>
              <w:rPr>
                <w:rFonts w:hint="eastAsia" w:ascii="宋体"/>
                <w:sz w:val="28"/>
                <w:szCs w:val="28"/>
              </w:rPr>
            </w:pPr>
            <w:r>
              <w:rPr>
                <w:rFonts w:hint="eastAsia" w:ascii="宋体"/>
                <w:sz w:val="28"/>
                <w:szCs w:val="28"/>
              </w:rPr>
              <w:t>浮动办法</w:t>
            </w:r>
          </w:p>
        </w:tc>
        <w:tc>
          <w:tcPr>
            <w:tcW w:w="1803" w:type="dxa"/>
            <w:tcBorders>
              <w:tl2br w:val="nil"/>
              <w:tr2bl w:val="nil"/>
            </w:tcBorders>
          </w:tcPr>
          <w:p>
            <w:pPr>
              <w:spacing w:line="380" w:lineRule="exact"/>
              <w:jc w:val="center"/>
              <w:rPr>
                <w:rFonts w:hint="eastAsia" w:ascii="宋体"/>
                <w:spacing w:val="-4"/>
                <w:sz w:val="28"/>
                <w:szCs w:val="28"/>
              </w:rPr>
            </w:pPr>
            <w:r>
              <w:rPr>
                <w:rFonts w:hint="eastAsia" w:ascii="宋体"/>
                <w:spacing w:val="-4"/>
                <w:sz w:val="28"/>
                <w:szCs w:val="28"/>
              </w:rPr>
              <w:t>按收支比例</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＜50%</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50%-80%</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80%-120%</w:t>
            </w:r>
          </w:p>
        </w:tc>
        <w:tc>
          <w:tcPr>
            <w:tcW w:w="252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120%-150%</w:t>
            </w:r>
          </w:p>
        </w:tc>
        <w:tc>
          <w:tcPr>
            <w:tcW w:w="2340" w:type="dxa"/>
            <w:tcBorders>
              <w:tl2br w:val="nil"/>
              <w:tr2bl w:val="nil"/>
            </w:tcBorders>
          </w:tcPr>
          <w:p>
            <w:pPr>
              <w:spacing w:line="380" w:lineRule="exact"/>
              <w:jc w:val="center"/>
              <w:rPr>
                <w:rFonts w:hint="eastAsia" w:ascii="仿宋_GB2312" w:eastAsia="仿宋_GB2312"/>
                <w:sz w:val="28"/>
                <w:szCs w:val="28"/>
              </w:rPr>
            </w:pPr>
            <w:r>
              <w:rPr>
                <w:rFonts w:hint="eastAsia" w:ascii="仿宋_GB2312" w:eastAsia="仿宋_GB2312"/>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645" w:type="dxa"/>
            <w:vMerge w:val="continue"/>
            <w:tcBorders>
              <w:tl2br w:val="nil"/>
              <w:tr2bl w:val="nil"/>
            </w:tcBorders>
          </w:tcPr>
          <w:p/>
        </w:tc>
        <w:tc>
          <w:tcPr>
            <w:tcW w:w="1803" w:type="dxa"/>
            <w:tcBorders>
              <w:tl2br w:val="nil"/>
              <w:tr2bl w:val="nil"/>
            </w:tcBorders>
            <w:vAlign w:val="center"/>
          </w:tcPr>
          <w:p>
            <w:pPr>
              <w:spacing w:line="400" w:lineRule="exact"/>
              <w:jc w:val="center"/>
              <w:rPr>
                <w:rFonts w:hint="eastAsia" w:ascii="宋体"/>
                <w:sz w:val="28"/>
                <w:szCs w:val="28"/>
              </w:rPr>
            </w:pPr>
            <w:r>
              <w:rPr>
                <w:rFonts w:hint="eastAsia" w:ascii="宋体"/>
                <w:sz w:val="28"/>
                <w:szCs w:val="28"/>
              </w:rPr>
              <w:t>按工伤发生率安全生产管理情况</w:t>
            </w:r>
          </w:p>
        </w:tc>
        <w:tc>
          <w:tcPr>
            <w:tcW w:w="11880" w:type="dxa"/>
            <w:gridSpan w:val="5"/>
            <w:tcBorders>
              <w:tl2br w:val="nil"/>
              <w:tr2bl w:val="nil"/>
            </w:tcBorders>
          </w:tcPr>
          <w:p>
            <w:pPr>
              <w:spacing w:line="400" w:lineRule="exact"/>
              <w:rPr>
                <w:rFonts w:hint="eastAsia" w:ascii="仿宋_GB2312" w:eastAsia="仿宋_GB2312"/>
                <w:sz w:val="24"/>
              </w:rPr>
            </w:pPr>
            <w:r>
              <w:rPr>
                <w:rFonts w:hint="eastAsia" w:ascii="仿宋_GB2312" w:eastAsia="仿宋_GB2312"/>
                <w:sz w:val="24"/>
              </w:rPr>
              <w:t xml:space="preserve">1.一类至八类行业用人单位，其年度工伤发生率为≥4%或者宁波市安全生产信用等级为“D 级”的，在按工伤保险费收支比例浮动次年度费率的基础上，上浮一档费率（已核定为所属行业最高档次费率的不再上浮）。 </w:t>
            </w:r>
          </w:p>
          <w:p>
            <w:pPr>
              <w:spacing w:line="400" w:lineRule="exact"/>
              <w:rPr>
                <w:rFonts w:hint="eastAsia" w:ascii="仿宋_GB2312" w:eastAsia="仿宋_GB2312"/>
                <w:sz w:val="28"/>
                <w:szCs w:val="28"/>
              </w:rPr>
            </w:pPr>
            <w:r>
              <w:rPr>
                <w:rFonts w:hint="eastAsia" w:ascii="仿宋_GB2312" w:eastAsia="仿宋_GB2312"/>
                <w:sz w:val="24"/>
              </w:rPr>
              <w:t>2 ．二类至八类行业用人单位，其年度工伤保险费收支比例不到80％、工伤发生率不到l% ，且经国家、省、市有关部门评审，达到安全生产标准化一至</w:t>
            </w:r>
            <w:r>
              <w:rPr>
                <w:rFonts w:ascii="仿宋_GB2312" w:eastAsia="仿宋_GB2312"/>
                <w:sz w:val="24"/>
              </w:rPr>
              <w:t>三</w:t>
            </w:r>
            <w:r>
              <w:rPr>
                <w:rFonts w:hint="eastAsia" w:ascii="仿宋_GB2312" w:eastAsia="仿宋_GB2312"/>
                <w:sz w:val="24"/>
              </w:rPr>
              <w:t>级企业或者达到宁波市安全生产信用等级“</w:t>
            </w:r>
            <w:r>
              <w:rPr>
                <w:rFonts w:ascii="仿宋_GB2312" w:eastAsia="仿宋_GB2312"/>
                <w:sz w:val="24"/>
              </w:rPr>
              <w:t>B</w:t>
            </w:r>
            <w:r>
              <w:rPr>
                <w:rFonts w:hint="eastAsia" w:ascii="仿宋_GB2312" w:eastAsia="仿宋_GB2312"/>
                <w:sz w:val="24"/>
              </w:rPr>
              <w:t>”级</w:t>
            </w:r>
            <w:r>
              <w:rPr>
                <w:rFonts w:ascii="仿宋_GB2312" w:eastAsia="仿宋_GB2312"/>
                <w:sz w:val="24"/>
              </w:rPr>
              <w:t>及以上</w:t>
            </w:r>
            <w:r>
              <w:rPr>
                <w:rFonts w:hint="eastAsia" w:ascii="仿宋_GB2312" w:eastAsia="仿宋_GB2312"/>
                <w:sz w:val="24"/>
              </w:rPr>
              <w:t>的，次年度在按工伤保险费收支比例浮动的基础上，下浮一档费率（已核定为所属行业最低档次费率的不再下浮）。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45" w:type="dxa"/>
            <w:vMerge w:val="continue"/>
            <w:tcBorders>
              <w:tl2br w:val="nil"/>
              <w:tr2bl w:val="nil"/>
            </w:tcBorders>
          </w:tcPr>
          <w:p/>
        </w:tc>
        <w:tc>
          <w:tcPr>
            <w:tcW w:w="1803" w:type="dxa"/>
            <w:tcBorders>
              <w:tl2br w:val="nil"/>
              <w:tr2bl w:val="nil"/>
            </w:tcBorders>
            <w:vAlign w:val="center"/>
          </w:tcPr>
          <w:p>
            <w:pPr>
              <w:spacing w:line="400" w:lineRule="exact"/>
              <w:jc w:val="center"/>
              <w:rPr>
                <w:rFonts w:hint="eastAsia" w:ascii="宋体"/>
                <w:sz w:val="28"/>
                <w:szCs w:val="28"/>
              </w:rPr>
            </w:pPr>
            <w:r>
              <w:rPr>
                <w:rFonts w:hint="eastAsia" w:ascii="宋体"/>
                <w:sz w:val="28"/>
                <w:szCs w:val="28"/>
              </w:rPr>
              <w:t>按职业病</w:t>
            </w:r>
          </w:p>
          <w:p>
            <w:pPr>
              <w:spacing w:line="400" w:lineRule="exact"/>
              <w:jc w:val="center"/>
              <w:rPr>
                <w:rFonts w:hint="eastAsia" w:ascii="宋体"/>
                <w:sz w:val="28"/>
                <w:szCs w:val="28"/>
              </w:rPr>
            </w:pPr>
            <w:r>
              <w:rPr>
                <w:rFonts w:hint="eastAsia" w:ascii="宋体"/>
                <w:sz w:val="28"/>
                <w:szCs w:val="28"/>
              </w:rPr>
              <w:t>发生情况</w:t>
            </w:r>
          </w:p>
        </w:tc>
        <w:tc>
          <w:tcPr>
            <w:tcW w:w="11880" w:type="dxa"/>
            <w:gridSpan w:val="5"/>
            <w:tcBorders>
              <w:tl2br w:val="nil"/>
              <w:tr2bl w:val="nil"/>
            </w:tcBorders>
          </w:tcPr>
          <w:p>
            <w:pPr>
              <w:spacing w:line="400" w:lineRule="exact"/>
              <w:rPr>
                <w:rFonts w:hint="eastAsia" w:ascii="仿宋_GB2312" w:eastAsia="仿宋_GB2312"/>
                <w:sz w:val="24"/>
              </w:rPr>
            </w:pPr>
            <w:r>
              <w:rPr>
                <w:rFonts w:hint="eastAsia" w:ascii="仿宋_GB2312" w:eastAsia="仿宋_GB2312"/>
                <w:sz w:val="24"/>
              </w:rPr>
              <w:t>一类至八类行业用人单位，年度内其职工发生职业病伤害事故（且经劳动能力鉴定为职业病门类1-10级）的，次年起执行所属行业最高档次费率；用人单位在执行所属行业最高档次费率期间，未再发生新的职业病伤害事故的，两年后恢复其在行业内进行费率浮动。</w:t>
            </w:r>
          </w:p>
        </w:tc>
      </w:tr>
    </w:tbl>
    <w:p/>
    <w:sectPr>
      <w:pgSz w:w="16838" w:h="11906" w:orient="landscape"/>
      <w:pgMar w:top="1440" w:right="1440" w:bottom="1440" w:left="1440" w:header="851" w:footer="992" w:gutter="0"/>
      <w:pgNumType w:fmt="numberInDash"/>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0" w:wrap="around" w:vAnchor="text" w:hAnchor="margin" w:xAlign="outside" w:y="1"/>
      <w:rPr>
        <w:rStyle w:val="8"/>
        <w:rFonts w:hint="eastAsia" w:ascii="仿宋_GB2312" w:eastAsia="仿宋_GB2312"/>
        <w:b/>
        <w:sz w:val="32"/>
        <w:szCs w:val="32"/>
      </w:rPr>
    </w:pPr>
    <w:r>
      <w:rPr>
        <w:rStyle w:val="8"/>
        <w:rFonts w:hint="eastAsia" w:ascii="仿宋_GB2312" w:eastAsia="仿宋_GB2312"/>
        <w:b/>
        <w:sz w:val="32"/>
        <w:szCs w:val="32"/>
      </w:rPr>
      <w:fldChar w:fldCharType="begin"/>
    </w:r>
    <w:r>
      <w:rPr>
        <w:rStyle w:val="8"/>
        <w:rFonts w:hint="eastAsia" w:ascii="仿宋_GB2312" w:eastAsia="仿宋_GB2312"/>
        <w:b/>
        <w:sz w:val="32"/>
        <w:szCs w:val="32"/>
      </w:rPr>
      <w:instrText xml:space="preserve">PAGE  </w:instrText>
    </w:r>
    <w:r>
      <w:rPr>
        <w:rStyle w:val="8"/>
        <w:rFonts w:hint="eastAsia" w:ascii="仿宋_GB2312" w:eastAsia="仿宋_GB2312"/>
        <w:b/>
        <w:sz w:val="32"/>
        <w:szCs w:val="32"/>
      </w:rPr>
      <w:fldChar w:fldCharType="separate"/>
    </w:r>
    <w:r>
      <w:rPr>
        <w:rStyle w:val="8"/>
        <w:rFonts w:ascii="仿宋_GB2312" w:eastAsia="仿宋_GB2312"/>
        <w:b/>
        <w:sz w:val="32"/>
        <w:szCs w:val="32"/>
        <w:lang w:val="en-US" w:eastAsia="zh-CN"/>
      </w:rPr>
      <w:t>- 5 -</w:t>
    </w:r>
    <w:r>
      <w:rPr>
        <w:rStyle w:val="8"/>
        <w:rFonts w:hint="eastAsia" w:ascii="仿宋_GB2312" w:eastAsia="仿宋_GB2312"/>
        <w:b/>
        <w:sz w:val="32"/>
        <w:szCs w:val="32"/>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0"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vanish/>
      </w:rPr>
      <w:t xml:space="preserve"> </w:t>
    </w:r>
    <w:r>
      <w:rPr>
        <w:rStyle w:val="8"/>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2CBD"/>
    <w:multiLevelType w:val="multilevel"/>
    <w:tmpl w:val="0C9E2CBD"/>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448F62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8">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8</Pages>
  <Words>2986</Words>
  <Characters>3260</Characters>
  <Lines>248</Lines>
  <Paragraphs>129</Paragraphs>
  <TotalTime>10</TotalTime>
  <ScaleCrop>false</ScaleCrop>
  <LinksUpToDate>false</LinksUpToDate>
  <CharactersWithSpaces>3332</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2020-12-14T02:46:00Z</dcterms:created>
  <dc:creator>AutoBVT</dc:creator>
  <cp:lastModifiedBy>Administrator</cp:lastModifiedBy>
  <cp:lastPrinted>2020-12-14T03:16:00Z</cp:lastPrinted>
  <dcterms:modified xsi:type="dcterms:W3CDTF">2020-12-23T06:34:51Z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