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240" w:lineRule="auto"/>
        <w:jc w:val="center"/>
        <w:rPr>
          <w:rFonts w:ascii="黑体" w:hAnsi="黑体" w:eastAsia="黑体" w:cstheme="minorBidi"/>
          <w:sz w:val="44"/>
          <w:szCs w:val="44"/>
        </w:rPr>
      </w:pPr>
      <w:r>
        <w:rPr>
          <w:rFonts w:hint="eastAsia" w:ascii="黑体" w:hAnsi="黑体" w:eastAsia="黑体" w:cstheme="minorBidi"/>
          <w:sz w:val="44"/>
          <w:szCs w:val="44"/>
          <w:lang w:eastAsia="zh-CN"/>
        </w:rPr>
        <w:t>余姚</w:t>
      </w:r>
      <w:r>
        <w:rPr>
          <w:rFonts w:hint="eastAsia" w:ascii="黑体" w:hAnsi="黑体" w:eastAsia="黑体" w:cstheme="minorBidi"/>
          <w:sz w:val="44"/>
          <w:szCs w:val="44"/>
        </w:rPr>
        <w:t>市政府信息主动公开目录清单（市政府办公</w:t>
      </w:r>
      <w:r>
        <w:rPr>
          <w:rFonts w:hint="eastAsia" w:ascii="黑体" w:hAnsi="黑体" w:eastAsia="黑体" w:cstheme="minorBidi"/>
          <w:sz w:val="44"/>
          <w:szCs w:val="44"/>
          <w:lang w:eastAsia="zh-CN"/>
        </w:rPr>
        <w:t>室</w:t>
      </w:r>
      <w:r>
        <w:rPr>
          <w:rFonts w:hint="eastAsia" w:ascii="黑体" w:hAnsi="黑体" w:eastAsia="黑体" w:cstheme="minorBidi"/>
          <w:sz w:val="44"/>
          <w:szCs w:val="44"/>
        </w:rPr>
        <w:t>）</w:t>
      </w:r>
    </w:p>
    <w:tbl>
      <w:tblPr>
        <w:tblStyle w:val="5"/>
        <w:tblW w:w="1560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28"/>
        <w:gridCol w:w="2990"/>
        <w:gridCol w:w="2127"/>
        <w:gridCol w:w="1334"/>
        <w:gridCol w:w="1275"/>
        <w:gridCol w:w="3118"/>
        <w:gridCol w:w="1293"/>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jc w:val="center"/>
              <w:rPr>
                <w:rFonts w:ascii="黑体" w:hAnsi="黑体" w:eastAsia="黑体"/>
                <w:sz w:val="24"/>
                <w:szCs w:val="24"/>
              </w:rPr>
            </w:pPr>
            <w:r>
              <w:rPr>
                <w:rFonts w:hint="eastAsia" w:ascii="黑体" w:hAnsi="黑体" w:eastAsia="黑体"/>
                <w:sz w:val="24"/>
                <w:szCs w:val="24"/>
              </w:rPr>
              <w:t>事项类别</w:t>
            </w:r>
          </w:p>
        </w:tc>
        <w:tc>
          <w:tcPr>
            <w:tcW w:w="1128" w:type="dxa"/>
            <w:vAlign w:val="center"/>
          </w:tcPr>
          <w:p>
            <w:pPr>
              <w:jc w:val="center"/>
              <w:rPr>
                <w:rFonts w:ascii="黑体" w:hAnsi="黑体" w:eastAsia="黑体"/>
                <w:sz w:val="24"/>
                <w:szCs w:val="24"/>
              </w:rPr>
            </w:pPr>
            <w:r>
              <w:rPr>
                <w:rFonts w:hint="eastAsia" w:ascii="黑体" w:hAnsi="黑体" w:eastAsia="黑体"/>
                <w:sz w:val="24"/>
                <w:szCs w:val="24"/>
              </w:rPr>
              <w:t>事项名称</w:t>
            </w:r>
          </w:p>
        </w:tc>
        <w:tc>
          <w:tcPr>
            <w:tcW w:w="2990" w:type="dxa"/>
            <w:vAlign w:val="center"/>
          </w:tcPr>
          <w:p>
            <w:pPr>
              <w:jc w:val="center"/>
              <w:rPr>
                <w:rFonts w:ascii="黑体" w:hAnsi="黑体" w:eastAsia="黑体"/>
                <w:sz w:val="24"/>
                <w:szCs w:val="24"/>
              </w:rPr>
            </w:pPr>
            <w:r>
              <w:rPr>
                <w:rFonts w:hint="eastAsia" w:ascii="黑体" w:hAnsi="黑体" w:eastAsia="黑体"/>
                <w:sz w:val="24"/>
                <w:szCs w:val="24"/>
              </w:rPr>
              <w:t>公开内容</w:t>
            </w:r>
          </w:p>
        </w:tc>
        <w:tc>
          <w:tcPr>
            <w:tcW w:w="2127" w:type="dxa"/>
            <w:vAlign w:val="center"/>
          </w:tcPr>
          <w:p>
            <w:pPr>
              <w:jc w:val="center"/>
              <w:rPr>
                <w:rFonts w:ascii="黑体" w:hAnsi="黑体" w:eastAsia="黑体"/>
                <w:sz w:val="24"/>
                <w:szCs w:val="24"/>
              </w:rPr>
            </w:pPr>
            <w:r>
              <w:rPr>
                <w:rFonts w:hint="eastAsia" w:ascii="黑体" w:hAnsi="黑体" w:eastAsia="黑体"/>
                <w:sz w:val="24"/>
                <w:szCs w:val="24"/>
              </w:rPr>
              <w:t>公开依据</w:t>
            </w:r>
          </w:p>
        </w:tc>
        <w:tc>
          <w:tcPr>
            <w:tcW w:w="1334" w:type="dxa"/>
            <w:vAlign w:val="center"/>
          </w:tcPr>
          <w:p>
            <w:pPr>
              <w:jc w:val="center"/>
              <w:rPr>
                <w:rFonts w:ascii="黑体" w:hAnsi="黑体" w:eastAsia="黑体"/>
                <w:sz w:val="24"/>
                <w:szCs w:val="24"/>
              </w:rPr>
            </w:pPr>
            <w:r>
              <w:rPr>
                <w:rFonts w:hint="eastAsia" w:ascii="黑体" w:hAnsi="黑体" w:eastAsia="黑体"/>
                <w:sz w:val="24"/>
                <w:szCs w:val="24"/>
              </w:rPr>
              <w:t>公开主体</w:t>
            </w:r>
          </w:p>
        </w:tc>
        <w:tc>
          <w:tcPr>
            <w:tcW w:w="1275" w:type="dxa"/>
            <w:vAlign w:val="center"/>
          </w:tcPr>
          <w:p>
            <w:pPr>
              <w:jc w:val="center"/>
              <w:rPr>
                <w:rFonts w:ascii="黑体" w:hAnsi="黑体" w:eastAsia="黑体"/>
                <w:sz w:val="24"/>
                <w:szCs w:val="24"/>
              </w:rPr>
            </w:pPr>
            <w:r>
              <w:rPr>
                <w:rFonts w:hint="eastAsia" w:ascii="黑体" w:hAnsi="黑体" w:eastAsia="黑体"/>
                <w:sz w:val="24"/>
                <w:szCs w:val="24"/>
              </w:rPr>
              <w:t>公开时限</w:t>
            </w:r>
          </w:p>
        </w:tc>
        <w:tc>
          <w:tcPr>
            <w:tcW w:w="3118" w:type="dxa"/>
            <w:vAlign w:val="center"/>
          </w:tcPr>
          <w:p>
            <w:pPr>
              <w:jc w:val="center"/>
              <w:rPr>
                <w:rFonts w:ascii="黑体" w:hAnsi="黑体" w:eastAsia="黑体"/>
                <w:sz w:val="24"/>
                <w:szCs w:val="24"/>
              </w:rPr>
            </w:pPr>
            <w:r>
              <w:rPr>
                <w:rFonts w:hint="eastAsia" w:ascii="黑体" w:hAnsi="黑体" w:eastAsia="黑体"/>
                <w:sz w:val="24"/>
                <w:szCs w:val="24"/>
              </w:rPr>
              <w:t>公开渠道</w:t>
            </w:r>
          </w:p>
        </w:tc>
        <w:tc>
          <w:tcPr>
            <w:tcW w:w="1293" w:type="dxa"/>
            <w:vAlign w:val="center"/>
          </w:tcPr>
          <w:p>
            <w:pPr>
              <w:jc w:val="center"/>
              <w:rPr>
                <w:rFonts w:ascii="黑体" w:hAnsi="黑体" w:eastAsia="黑体"/>
                <w:sz w:val="24"/>
                <w:szCs w:val="24"/>
              </w:rPr>
            </w:pPr>
            <w:r>
              <w:rPr>
                <w:rFonts w:hint="eastAsia" w:ascii="黑体" w:hAnsi="黑体" w:eastAsia="黑体"/>
                <w:sz w:val="24"/>
                <w:szCs w:val="24"/>
              </w:rPr>
              <w:t>公开方式</w:t>
            </w:r>
          </w:p>
        </w:tc>
        <w:tc>
          <w:tcPr>
            <w:tcW w:w="1216" w:type="dxa"/>
            <w:vAlign w:val="center"/>
          </w:tcPr>
          <w:p>
            <w:pPr>
              <w:jc w:val="center"/>
              <w:rPr>
                <w:rFonts w:ascii="黑体" w:hAnsi="黑体" w:eastAsia="黑体"/>
                <w:sz w:val="24"/>
                <w:szCs w:val="24"/>
              </w:rPr>
            </w:pPr>
            <w:r>
              <w:rPr>
                <w:rFonts w:hint="eastAsia" w:ascii="黑体" w:hAnsi="黑体" w:eastAsia="黑体"/>
                <w:sz w:val="24"/>
                <w:szCs w:val="24"/>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机构信息</w:t>
            </w:r>
          </w:p>
        </w:tc>
        <w:tc>
          <w:tcPr>
            <w:tcW w:w="1128" w:type="dxa"/>
            <w:vAlign w:val="center"/>
          </w:tcPr>
          <w:p>
            <w:pPr>
              <w:spacing w:line="240" w:lineRule="auto"/>
              <w:jc w:val="center"/>
              <w:rPr>
                <w:sz w:val="20"/>
                <w:szCs w:val="20"/>
              </w:rPr>
            </w:pPr>
            <w:r>
              <w:rPr>
                <w:rFonts w:hint="eastAsia"/>
                <w:sz w:val="20"/>
                <w:szCs w:val="20"/>
              </w:rPr>
              <w:t>机构概况</w:t>
            </w:r>
          </w:p>
        </w:tc>
        <w:tc>
          <w:tcPr>
            <w:tcW w:w="2990" w:type="dxa"/>
            <w:vAlign w:val="center"/>
          </w:tcPr>
          <w:p>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组织人事科</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rFonts w:hint="eastAsia"/>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eastAsia" w:eastAsia="宋体"/>
                <w:sz w:val="20"/>
                <w:szCs w:val="20"/>
                <w:lang w:val="en-US" w:eastAsia="zh-CN"/>
              </w:rPr>
            </w:pPr>
            <w:r>
              <w:rPr>
                <w:rFonts w:hint="eastAsia"/>
                <w:sz w:val="20"/>
                <w:szCs w:val="20"/>
                <w:lang w:val="en-US" w:eastAsia="zh-CN"/>
              </w:rPr>
              <w:t>89282122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机关职能</w:t>
            </w:r>
          </w:p>
        </w:tc>
        <w:tc>
          <w:tcPr>
            <w:tcW w:w="2990" w:type="dxa"/>
            <w:vAlign w:val="center"/>
          </w:tcPr>
          <w:p>
            <w:pPr>
              <w:spacing w:line="240" w:lineRule="auto"/>
              <w:rPr>
                <w:sz w:val="20"/>
                <w:szCs w:val="20"/>
              </w:rPr>
            </w:pPr>
            <w:r>
              <w:rPr>
                <w:sz w:val="20"/>
                <w:szCs w:val="20"/>
              </w:rPr>
              <w:t>依据“三定”方案及职责调整情况确定的本部门最新法定职能</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组织人事科</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领导分工</w:t>
            </w:r>
          </w:p>
        </w:tc>
        <w:tc>
          <w:tcPr>
            <w:tcW w:w="2990" w:type="dxa"/>
            <w:vAlign w:val="center"/>
          </w:tcPr>
          <w:p>
            <w:pPr>
              <w:spacing w:line="240" w:lineRule="auto"/>
              <w:rPr>
                <w:sz w:val="20"/>
                <w:szCs w:val="20"/>
              </w:rPr>
            </w:pPr>
            <w:r>
              <w:rPr>
                <w:sz w:val="20"/>
                <w:szCs w:val="20"/>
              </w:rPr>
              <w:t>领导姓名、工作职务、工作分工、标准工作照</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组织人事科</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内设机构</w:t>
            </w:r>
          </w:p>
        </w:tc>
        <w:tc>
          <w:tcPr>
            <w:tcW w:w="2990" w:type="dxa"/>
            <w:vAlign w:val="center"/>
          </w:tcPr>
          <w:p>
            <w:pPr>
              <w:spacing w:line="240" w:lineRule="auto"/>
              <w:rPr>
                <w:sz w:val="20"/>
                <w:szCs w:val="20"/>
              </w:rPr>
            </w:pPr>
            <w:r>
              <w:rPr>
                <w:sz w:val="20"/>
                <w:szCs w:val="20"/>
              </w:rPr>
              <w:t>内设机构名称、职责、办公电话</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组织人事科</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下属单位概况</w:t>
            </w:r>
          </w:p>
        </w:tc>
        <w:tc>
          <w:tcPr>
            <w:tcW w:w="2990" w:type="dxa"/>
            <w:vAlign w:val="center"/>
          </w:tcPr>
          <w:p>
            <w:pPr>
              <w:spacing w:line="240" w:lineRule="auto"/>
              <w:rPr>
                <w:sz w:val="20"/>
                <w:szCs w:val="20"/>
              </w:rPr>
            </w:pPr>
            <w:r>
              <w:rPr>
                <w:sz w:val="20"/>
                <w:szCs w:val="20"/>
              </w:rPr>
              <w:t>下属单位名称、地址、主要负责人、办公电话</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组织人事科</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政策文件</w:t>
            </w:r>
          </w:p>
        </w:tc>
        <w:tc>
          <w:tcPr>
            <w:tcW w:w="1128" w:type="dxa"/>
            <w:vAlign w:val="center"/>
          </w:tcPr>
          <w:p>
            <w:pPr>
              <w:spacing w:line="240" w:lineRule="auto"/>
              <w:jc w:val="center"/>
              <w:rPr>
                <w:sz w:val="20"/>
                <w:szCs w:val="20"/>
              </w:rPr>
            </w:pPr>
            <w:r>
              <w:rPr>
                <w:rFonts w:hint="eastAsia"/>
                <w:sz w:val="20"/>
                <w:szCs w:val="20"/>
              </w:rPr>
              <w:t>行政法规、规章</w:t>
            </w:r>
          </w:p>
        </w:tc>
        <w:tc>
          <w:tcPr>
            <w:tcW w:w="2990" w:type="dxa"/>
            <w:vAlign w:val="center"/>
          </w:tcPr>
          <w:p>
            <w:pPr>
              <w:spacing w:line="240" w:lineRule="auto"/>
              <w:rPr>
                <w:rFonts w:hint="eastAsia"/>
                <w:sz w:val="20"/>
                <w:szCs w:val="20"/>
              </w:rPr>
            </w:pPr>
            <w:r>
              <w:rPr>
                <w:rFonts w:hint="eastAsia"/>
                <w:sz w:val="20"/>
                <w:szCs w:val="20"/>
              </w:rPr>
              <w:t>本市按照行政法规规定的程序制定的政治、经济、教育、科技、文化、外事等各类法规、规章</w:t>
            </w:r>
          </w:p>
        </w:tc>
        <w:tc>
          <w:tcPr>
            <w:tcW w:w="2127" w:type="dxa"/>
            <w:vMerge w:val="restart"/>
            <w:vAlign w:val="center"/>
          </w:tcPr>
          <w:p>
            <w:pPr>
              <w:spacing w:line="240" w:lineRule="auto"/>
              <w:jc w:val="center"/>
              <w:rPr>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vAlign w:val="center"/>
          </w:tcPr>
          <w:p>
            <w:pPr>
              <w:spacing w:line="240" w:lineRule="auto"/>
              <w:jc w:val="center"/>
              <w:rPr>
                <w:sz w:val="20"/>
                <w:szCs w:val="20"/>
              </w:rPr>
            </w:pPr>
            <w:r>
              <w:rPr>
                <w:rFonts w:hint="eastAsia"/>
                <w:sz w:val="20"/>
                <w:szCs w:val="20"/>
                <w:lang w:eastAsia="zh-CN"/>
              </w:rPr>
              <w:t>法治综合科</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eastAsia"/>
                <w:sz w:val="20"/>
                <w:szCs w:val="20"/>
                <w:lang w:val="en-US" w:eastAsia="zh-CN"/>
              </w:rPr>
            </w:pPr>
            <w:r>
              <w:rPr>
                <w:rFonts w:hint="eastAsia"/>
                <w:sz w:val="20"/>
                <w:szCs w:val="20"/>
                <w:lang w:val="en-US" w:eastAsia="zh-CN"/>
              </w:rPr>
              <w:t>89282156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规范性文件</w:t>
            </w:r>
          </w:p>
        </w:tc>
        <w:tc>
          <w:tcPr>
            <w:tcW w:w="2990" w:type="dxa"/>
            <w:vAlign w:val="center"/>
          </w:tcPr>
          <w:p>
            <w:pPr>
              <w:spacing w:line="240" w:lineRule="auto"/>
              <w:rPr>
                <w:sz w:val="20"/>
                <w:szCs w:val="20"/>
              </w:rPr>
            </w:pPr>
            <w:r>
              <w:rPr>
                <w:rFonts w:hint="eastAsia"/>
                <w:sz w:val="20"/>
                <w:szCs w:val="20"/>
              </w:rPr>
              <w:t>本市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lang w:eastAsia="zh-CN"/>
              </w:rPr>
              <w:t>法治综合科</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其他政策文件</w:t>
            </w:r>
          </w:p>
        </w:tc>
        <w:tc>
          <w:tcPr>
            <w:tcW w:w="2990" w:type="dxa"/>
            <w:vAlign w:val="center"/>
          </w:tcPr>
          <w:p>
            <w:pPr>
              <w:spacing w:line="240" w:lineRule="auto"/>
              <w:rPr>
                <w:sz w:val="20"/>
                <w:szCs w:val="20"/>
              </w:rPr>
            </w:pPr>
            <w:r>
              <w:rPr>
                <w:rFonts w:hint="eastAsia"/>
                <w:color w:val="000000"/>
                <w:sz w:val="20"/>
                <w:szCs w:val="20"/>
              </w:rPr>
              <w:t>本单位制定的政策文件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lang w:eastAsia="zh-CN"/>
              </w:rPr>
              <w:t>法治综合科</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sz w:val="20"/>
                <w:szCs w:val="20"/>
              </w:rPr>
              <w:t>工作信息</w:t>
            </w:r>
          </w:p>
        </w:tc>
        <w:tc>
          <w:tcPr>
            <w:tcW w:w="1128" w:type="dxa"/>
            <w:vAlign w:val="center"/>
          </w:tcPr>
          <w:p>
            <w:pPr>
              <w:spacing w:line="240" w:lineRule="auto"/>
              <w:jc w:val="center"/>
              <w:rPr>
                <w:sz w:val="20"/>
                <w:szCs w:val="20"/>
              </w:rPr>
            </w:pPr>
            <w:r>
              <w:rPr>
                <w:rFonts w:hint="eastAsia"/>
                <w:color w:val="000000"/>
                <w:sz w:val="20"/>
                <w:szCs w:val="20"/>
              </w:rPr>
              <w:t>建议提案答复</w:t>
            </w:r>
          </w:p>
        </w:tc>
        <w:tc>
          <w:tcPr>
            <w:tcW w:w="2990" w:type="dxa"/>
            <w:vAlign w:val="center"/>
          </w:tcPr>
          <w:p>
            <w:pPr>
              <w:spacing w:line="240" w:lineRule="auto"/>
              <w:rPr>
                <w:sz w:val="20"/>
                <w:szCs w:val="20"/>
              </w:rPr>
            </w:pPr>
            <w:r>
              <w:rPr>
                <w:rFonts w:hint="eastAsia"/>
                <w:color w:val="000000"/>
                <w:sz w:val="20"/>
                <w:szCs w:val="20"/>
              </w:rPr>
              <w:t>由市政府办公厅答复的、应当公开的市人大代表建议复文和市政协委员提案复文</w:t>
            </w:r>
          </w:p>
        </w:tc>
        <w:tc>
          <w:tcPr>
            <w:tcW w:w="2127" w:type="dxa"/>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w:t>
            </w: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督查室</w:t>
            </w:r>
          </w:p>
        </w:tc>
        <w:tc>
          <w:tcPr>
            <w:tcW w:w="1275" w:type="dxa"/>
            <w:vAlign w:val="center"/>
          </w:tcPr>
          <w:p>
            <w:pPr>
              <w:spacing w:line="240" w:lineRule="auto"/>
              <w:jc w:val="center"/>
              <w:rPr>
                <w:sz w:val="20"/>
                <w:szCs w:val="20"/>
              </w:rPr>
            </w:pPr>
            <w:r>
              <w:rPr>
                <w:rFonts w:hint="eastAsia"/>
                <w:color w:val="000000"/>
                <w:sz w:val="20"/>
                <w:szCs w:val="20"/>
              </w:rPr>
              <w:t>1个月内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eastAsia"/>
                <w:sz w:val="20"/>
                <w:szCs w:val="20"/>
                <w:lang w:val="en-US" w:eastAsia="zh-CN"/>
              </w:rPr>
            </w:pPr>
            <w:r>
              <w:rPr>
                <w:rFonts w:hint="eastAsia"/>
                <w:sz w:val="20"/>
                <w:szCs w:val="20"/>
                <w:lang w:val="en-US" w:eastAsia="zh-CN"/>
              </w:rPr>
              <w:t>89282037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人事信息</w:t>
            </w:r>
          </w:p>
        </w:tc>
        <w:tc>
          <w:tcPr>
            <w:tcW w:w="1128" w:type="dxa"/>
            <w:vAlign w:val="center"/>
          </w:tcPr>
          <w:p>
            <w:pPr>
              <w:spacing w:line="240" w:lineRule="auto"/>
              <w:jc w:val="center"/>
              <w:rPr>
                <w:sz w:val="20"/>
                <w:szCs w:val="20"/>
              </w:rPr>
            </w:pPr>
            <w:r>
              <w:rPr>
                <w:rFonts w:hint="eastAsia"/>
                <w:color w:val="000000"/>
                <w:sz w:val="20"/>
                <w:szCs w:val="20"/>
              </w:rPr>
              <w:t>人事任免</w:t>
            </w:r>
          </w:p>
        </w:tc>
        <w:tc>
          <w:tcPr>
            <w:tcW w:w="2990" w:type="dxa"/>
            <w:vAlign w:val="center"/>
          </w:tcPr>
          <w:p>
            <w:pPr>
              <w:spacing w:line="240" w:lineRule="auto"/>
              <w:rPr>
                <w:sz w:val="20"/>
                <w:szCs w:val="20"/>
              </w:rPr>
            </w:pPr>
            <w:r>
              <w:rPr>
                <w:rFonts w:hint="eastAsia"/>
                <w:color w:val="000000"/>
                <w:sz w:val="20"/>
                <w:szCs w:val="20"/>
              </w:rPr>
              <w:t>人事任免文件</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组织人事科</w:t>
            </w:r>
          </w:p>
        </w:tc>
        <w:tc>
          <w:tcPr>
            <w:tcW w:w="1275" w:type="dxa"/>
            <w:vAlign w:val="center"/>
          </w:tcPr>
          <w:p>
            <w:pPr>
              <w:spacing w:line="240" w:lineRule="auto"/>
              <w:jc w:val="center"/>
              <w:rPr>
                <w:sz w:val="20"/>
                <w:szCs w:val="20"/>
              </w:rPr>
            </w:pPr>
            <w:r>
              <w:rPr>
                <w:rFonts w:hint="eastAsia"/>
                <w:sz w:val="20"/>
                <w:szCs w:val="20"/>
              </w:rPr>
              <w:t>相关信息形成或变更之日起20个工作日内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sz w:val="20"/>
                <w:szCs w:val="20"/>
              </w:rPr>
            </w:pPr>
            <w:r>
              <w:rPr>
                <w:rFonts w:hint="eastAsia"/>
                <w:sz w:val="20"/>
                <w:szCs w:val="20"/>
                <w:lang w:val="en-US" w:eastAsia="zh-CN"/>
              </w:rPr>
              <w:t>89282122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color w:val="000000"/>
                <w:sz w:val="20"/>
                <w:szCs w:val="20"/>
              </w:rPr>
              <w:t>公务员考录信息</w:t>
            </w:r>
          </w:p>
        </w:tc>
        <w:tc>
          <w:tcPr>
            <w:tcW w:w="2990" w:type="dxa"/>
            <w:vAlign w:val="center"/>
          </w:tcPr>
          <w:p>
            <w:pPr>
              <w:spacing w:line="240" w:lineRule="auto"/>
              <w:rPr>
                <w:sz w:val="20"/>
                <w:szCs w:val="20"/>
              </w:rPr>
            </w:pPr>
            <w:r>
              <w:rPr>
                <w:rFonts w:hint="eastAsia"/>
                <w:color w:val="000000"/>
                <w:sz w:val="20"/>
                <w:szCs w:val="20"/>
              </w:rPr>
              <w:t>公务员招考公告，考试信息，拟录用公告</w:t>
            </w:r>
          </w:p>
        </w:tc>
        <w:tc>
          <w:tcPr>
            <w:tcW w:w="2127" w:type="dxa"/>
            <w:vAlign w:val="center"/>
          </w:tcPr>
          <w:p>
            <w:pPr>
              <w:spacing w:line="240" w:lineRule="auto"/>
              <w:jc w:val="center"/>
              <w:rPr>
                <w:sz w:val="20"/>
                <w:szCs w:val="20"/>
              </w:rPr>
            </w:pPr>
            <w:r>
              <w:rPr>
                <w:rFonts w:hint="eastAsia"/>
                <w:color w:val="000000"/>
                <w:sz w:val="20"/>
                <w:szCs w:val="20"/>
              </w:rPr>
              <w:t>《中华人民共和国公务员法》《公务员录用规定（试行）》（人事部令第7号）</w:t>
            </w:r>
          </w:p>
        </w:tc>
        <w:tc>
          <w:tcPr>
            <w:tcW w:w="1334" w:type="dxa"/>
            <w:vAlign w:val="center"/>
          </w:tcPr>
          <w:p>
            <w:pPr>
              <w:spacing w:line="240" w:lineRule="auto"/>
              <w:jc w:val="center"/>
              <w:rPr>
                <w:sz w:val="20"/>
                <w:szCs w:val="20"/>
              </w:rPr>
            </w:pPr>
            <w:r>
              <w:rPr>
                <w:rFonts w:hint="eastAsia"/>
                <w:sz w:val="20"/>
                <w:szCs w:val="20"/>
                <w:lang w:eastAsia="zh-CN"/>
              </w:rPr>
              <w:t>组织人事科</w:t>
            </w:r>
          </w:p>
        </w:tc>
        <w:tc>
          <w:tcPr>
            <w:tcW w:w="1275" w:type="dxa"/>
            <w:vAlign w:val="center"/>
          </w:tcPr>
          <w:p>
            <w:pPr>
              <w:spacing w:line="240" w:lineRule="auto"/>
              <w:jc w:val="center"/>
              <w:rPr>
                <w:sz w:val="20"/>
                <w:szCs w:val="20"/>
              </w:rPr>
            </w:pPr>
            <w:r>
              <w:rPr>
                <w:rFonts w:hint="eastAsia"/>
                <w:sz w:val="20"/>
                <w:szCs w:val="20"/>
              </w:rPr>
              <w:t>相关信息形成或变更之日起20个工作日内</w:t>
            </w: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sz w:val="20"/>
                <w:szCs w:val="20"/>
              </w:rPr>
              <w:t>财政信息</w:t>
            </w:r>
          </w:p>
        </w:tc>
        <w:tc>
          <w:tcPr>
            <w:tcW w:w="1128" w:type="dxa"/>
            <w:vAlign w:val="center"/>
          </w:tcPr>
          <w:p>
            <w:pPr>
              <w:spacing w:line="240" w:lineRule="auto"/>
              <w:jc w:val="center"/>
              <w:rPr>
                <w:sz w:val="20"/>
                <w:szCs w:val="20"/>
              </w:rPr>
            </w:pPr>
            <w:r>
              <w:rPr>
                <w:rFonts w:hint="eastAsia"/>
                <w:color w:val="000000"/>
                <w:sz w:val="20"/>
                <w:szCs w:val="20"/>
              </w:rPr>
              <w:t>财政预决算（含“三公”经费）</w:t>
            </w:r>
          </w:p>
        </w:tc>
        <w:tc>
          <w:tcPr>
            <w:tcW w:w="2990" w:type="dxa"/>
            <w:vAlign w:val="center"/>
          </w:tcPr>
          <w:p>
            <w:pPr>
              <w:spacing w:line="240" w:lineRule="auto"/>
              <w:rPr>
                <w:sz w:val="20"/>
                <w:szCs w:val="20"/>
              </w:rPr>
            </w:pPr>
            <w:r>
              <w:rPr>
                <w:rFonts w:hint="eastAsia"/>
                <w:color w:val="000000"/>
                <w:sz w:val="20"/>
                <w:szCs w:val="20"/>
              </w:rPr>
              <w:t>财政预算、决算报告</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《中华人民共和国政府信息公开条例》（国务院令第711号）、《财政部关于推进省以下预决算公开工作的通知》（财预〔2013〕309号）</w:t>
            </w:r>
          </w:p>
        </w:tc>
        <w:tc>
          <w:tcPr>
            <w:tcW w:w="1334" w:type="dxa"/>
            <w:vAlign w:val="center"/>
          </w:tcPr>
          <w:p>
            <w:pPr>
              <w:spacing w:line="240" w:lineRule="auto"/>
              <w:jc w:val="center"/>
              <w:rPr>
                <w:sz w:val="20"/>
                <w:szCs w:val="20"/>
              </w:rPr>
            </w:pPr>
            <w:r>
              <w:rPr>
                <w:rFonts w:hint="eastAsia"/>
                <w:sz w:val="20"/>
                <w:szCs w:val="20"/>
                <w:lang w:eastAsia="zh-CN"/>
              </w:rPr>
              <w:t>组织人事科</w:t>
            </w:r>
          </w:p>
        </w:tc>
        <w:tc>
          <w:tcPr>
            <w:tcW w:w="1275" w:type="dxa"/>
            <w:vAlign w:val="center"/>
          </w:tcPr>
          <w:p>
            <w:pPr>
              <w:spacing w:line="240" w:lineRule="auto"/>
              <w:jc w:val="center"/>
              <w:rPr>
                <w:sz w:val="20"/>
                <w:szCs w:val="20"/>
              </w:rPr>
            </w:pPr>
            <w:r>
              <w:rPr>
                <w:rFonts w:hint="eastAsia"/>
                <w:color w:val="000000"/>
                <w:sz w:val="20"/>
                <w:szCs w:val="20"/>
              </w:rPr>
              <w:t>相关信息形成或变更之日起5个工作日内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eastAsia"/>
                <w:sz w:val="20"/>
                <w:szCs w:val="20"/>
                <w:lang w:val="en-US" w:eastAsia="zh-CN"/>
              </w:rPr>
            </w:pPr>
            <w:r>
              <w:rPr>
                <w:rFonts w:hint="eastAsia"/>
                <w:sz w:val="20"/>
                <w:szCs w:val="20"/>
                <w:lang w:val="en-US" w:eastAsia="zh-CN"/>
              </w:rPr>
              <w:t>89282122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年度报告</w:t>
            </w:r>
          </w:p>
        </w:tc>
        <w:tc>
          <w:tcPr>
            <w:tcW w:w="1128" w:type="dxa"/>
            <w:vAlign w:val="center"/>
          </w:tcPr>
          <w:p>
            <w:pPr>
              <w:spacing w:line="240" w:lineRule="auto"/>
              <w:jc w:val="center"/>
              <w:rPr>
                <w:sz w:val="20"/>
                <w:szCs w:val="20"/>
              </w:rPr>
            </w:pPr>
            <w:r>
              <w:rPr>
                <w:rFonts w:hint="eastAsia"/>
                <w:color w:val="000000"/>
                <w:sz w:val="20"/>
                <w:szCs w:val="20"/>
              </w:rPr>
              <w:t>政府信息公开年度报告</w:t>
            </w:r>
          </w:p>
        </w:tc>
        <w:tc>
          <w:tcPr>
            <w:tcW w:w="2990" w:type="dxa"/>
            <w:vAlign w:val="center"/>
          </w:tcPr>
          <w:p>
            <w:pPr>
              <w:spacing w:line="240" w:lineRule="auto"/>
              <w:rPr>
                <w:sz w:val="20"/>
                <w:szCs w:val="20"/>
              </w:rPr>
            </w:pPr>
            <w:r>
              <w:rPr>
                <w:rFonts w:hint="eastAsia"/>
                <w:color w:val="000000"/>
                <w:sz w:val="20"/>
                <w:szCs w:val="20"/>
              </w:rPr>
              <w:t>各年度政府信息公开年报</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政务公开科</w:t>
            </w:r>
          </w:p>
        </w:tc>
        <w:tc>
          <w:tcPr>
            <w:tcW w:w="1275" w:type="dxa"/>
            <w:vAlign w:val="center"/>
          </w:tcPr>
          <w:p>
            <w:pPr>
              <w:spacing w:line="240" w:lineRule="auto"/>
              <w:jc w:val="center"/>
              <w:rPr>
                <w:sz w:val="20"/>
                <w:szCs w:val="20"/>
              </w:rPr>
            </w:pPr>
            <w:r>
              <w:rPr>
                <w:rFonts w:hint="eastAsia"/>
                <w:color w:val="000000"/>
                <w:sz w:val="20"/>
                <w:szCs w:val="20"/>
              </w:rPr>
              <w:t>每年3月31日前</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sz w:val="20"/>
                <w:szCs w:val="20"/>
                <w:lang w:val="en-US" w:eastAsia="zh-CN"/>
              </w:rPr>
            </w:pPr>
            <w:r>
              <w:rPr>
                <w:rFonts w:hint="eastAsia"/>
                <w:sz w:val="20"/>
                <w:szCs w:val="20"/>
                <w:lang w:val="en-US" w:eastAsia="zh-CN"/>
              </w:rPr>
              <w:t>89282150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信息公开指南</w:t>
            </w:r>
          </w:p>
        </w:tc>
        <w:tc>
          <w:tcPr>
            <w:tcW w:w="1128" w:type="dxa"/>
            <w:vAlign w:val="center"/>
          </w:tcPr>
          <w:p>
            <w:pPr>
              <w:spacing w:line="240" w:lineRule="auto"/>
              <w:jc w:val="center"/>
              <w:rPr>
                <w:sz w:val="20"/>
                <w:szCs w:val="20"/>
              </w:rPr>
            </w:pPr>
            <w:r>
              <w:rPr>
                <w:rFonts w:hint="eastAsia"/>
                <w:color w:val="000000"/>
                <w:sz w:val="20"/>
                <w:szCs w:val="20"/>
              </w:rPr>
              <w:t>政府信息公开指南</w:t>
            </w:r>
          </w:p>
        </w:tc>
        <w:tc>
          <w:tcPr>
            <w:tcW w:w="2990" w:type="dxa"/>
            <w:vAlign w:val="center"/>
          </w:tcPr>
          <w:p>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政务公开科</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sz w:val="20"/>
                <w:szCs w:val="20"/>
                <w:lang w:val="en-US"/>
              </w:rPr>
            </w:pPr>
            <w:r>
              <w:rPr>
                <w:rFonts w:hint="eastAsia"/>
                <w:sz w:val="20"/>
                <w:szCs w:val="20"/>
                <w:lang w:val="en-US" w:eastAsia="zh-CN"/>
              </w:rPr>
              <w:t>89282150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信息公开目录</w:t>
            </w:r>
          </w:p>
        </w:tc>
        <w:tc>
          <w:tcPr>
            <w:tcW w:w="1128" w:type="dxa"/>
            <w:vAlign w:val="center"/>
          </w:tcPr>
          <w:p>
            <w:pPr>
              <w:spacing w:line="240" w:lineRule="auto"/>
              <w:jc w:val="center"/>
              <w:rPr>
                <w:sz w:val="20"/>
                <w:szCs w:val="20"/>
              </w:rPr>
            </w:pPr>
            <w:r>
              <w:rPr>
                <w:rFonts w:hint="eastAsia"/>
                <w:color w:val="000000"/>
                <w:sz w:val="20"/>
                <w:szCs w:val="20"/>
              </w:rPr>
              <w:t>政府信息公开目录</w:t>
            </w:r>
          </w:p>
        </w:tc>
        <w:tc>
          <w:tcPr>
            <w:tcW w:w="2990" w:type="dxa"/>
            <w:vAlign w:val="center"/>
          </w:tcPr>
          <w:p>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政务公开科</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sz w:val="20"/>
                <w:szCs w:val="20"/>
                <w:lang w:val="en-US"/>
              </w:rPr>
            </w:pPr>
            <w:r>
              <w:rPr>
                <w:rFonts w:hint="eastAsia"/>
                <w:sz w:val="20"/>
                <w:szCs w:val="20"/>
                <w:lang w:val="en-US" w:eastAsia="zh-CN"/>
              </w:rPr>
              <w:t>89282150</w:t>
            </w:r>
            <w:bookmarkStart w:id="0" w:name="_GoBack"/>
            <w:bookmarkEnd w:id="0"/>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Segoe UI Symbol">
    <w:panose1 w:val="020B0502040204020203"/>
    <w:charset w:val="00"/>
    <w:family w:val="swiss"/>
    <w:pitch w:val="default"/>
    <w:sig w:usb0="8000006F" w:usb1="1200FBEF" w:usb2="0064C000" w:usb3="00000002" w:csb0="00000001" w:csb1="4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4B"/>
    <w:rsid w:val="0008482C"/>
    <w:rsid w:val="000D793B"/>
    <w:rsid w:val="00125ACD"/>
    <w:rsid w:val="001409F6"/>
    <w:rsid w:val="001445BC"/>
    <w:rsid w:val="001D1EF1"/>
    <w:rsid w:val="00303D4B"/>
    <w:rsid w:val="00340ECF"/>
    <w:rsid w:val="00395AF4"/>
    <w:rsid w:val="003D1B38"/>
    <w:rsid w:val="004C38BD"/>
    <w:rsid w:val="00716847"/>
    <w:rsid w:val="00730BD9"/>
    <w:rsid w:val="00732C12"/>
    <w:rsid w:val="007D3337"/>
    <w:rsid w:val="008420FC"/>
    <w:rsid w:val="00884650"/>
    <w:rsid w:val="008D42B9"/>
    <w:rsid w:val="009301FD"/>
    <w:rsid w:val="00993677"/>
    <w:rsid w:val="00A970EC"/>
    <w:rsid w:val="00BB009B"/>
    <w:rsid w:val="00C9374F"/>
    <w:rsid w:val="00E124C1"/>
    <w:rsid w:val="0A844DEC"/>
    <w:rsid w:val="0AD437E5"/>
    <w:rsid w:val="1A2436E8"/>
    <w:rsid w:val="27AF6650"/>
    <w:rsid w:val="289F00EA"/>
    <w:rsid w:val="2D141439"/>
    <w:rsid w:val="2D786B5B"/>
    <w:rsid w:val="3016196F"/>
    <w:rsid w:val="31F1551C"/>
    <w:rsid w:val="33E51343"/>
    <w:rsid w:val="3C01416B"/>
    <w:rsid w:val="3D4A6983"/>
    <w:rsid w:val="455A75DA"/>
    <w:rsid w:val="4F64083F"/>
    <w:rsid w:val="559B2A02"/>
    <w:rsid w:val="571E2E47"/>
    <w:rsid w:val="5B72604B"/>
    <w:rsid w:val="66AB6A1D"/>
    <w:rsid w:val="681E6459"/>
    <w:rsid w:val="6A76145A"/>
    <w:rsid w:val="733F3B86"/>
    <w:rsid w:val="762C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宋体"/>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rFonts w:ascii="宋体" w:hAnsi="宋体" w:eastAsia="宋体" w:cs="宋体"/>
      <w:sz w:val="18"/>
      <w:szCs w:val="18"/>
    </w:rPr>
  </w:style>
  <w:style w:type="character" w:customStyle="1" w:styleId="8">
    <w:name w:val="页脚 字符"/>
    <w:basedOn w:val="6"/>
    <w:link w:val="2"/>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F58AA9-5FF4-4CD2-BF8B-8ACFC37A01FE}">
  <ds:schemaRefs/>
</ds:datastoreItem>
</file>

<file path=docProps/app.xml><?xml version="1.0" encoding="utf-8"?>
<Properties xmlns="http://schemas.openxmlformats.org/officeDocument/2006/extended-properties" xmlns:vt="http://schemas.openxmlformats.org/officeDocument/2006/docPropsVTypes">
  <Template>Normal.dotm</Template>
  <Pages>6</Pages>
  <Words>595</Words>
  <Characters>3398</Characters>
  <Lines>28</Lines>
  <Paragraphs>7</Paragraphs>
  <TotalTime>1</TotalTime>
  <ScaleCrop>false</ScaleCrop>
  <LinksUpToDate>false</LinksUpToDate>
  <CharactersWithSpaces>3986</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2019-07-17T00:46:00Z</dcterms:created>
  <dc:creator>沈佳丽</dc:creator>
  <cp:lastModifiedBy>不远复</cp:lastModifiedBy>
  <dcterms:modified xsi:type="dcterms:W3CDTF">2019-08-29T06:34:44Z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