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7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923290</wp:posOffset>
                </wp:positionV>
                <wp:extent cx="545084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3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2.65pt,72.7pt" to="511.85pt,72.7pt" o:allowincell="f" strokecolor="#000000" strokeweight="1.448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9438005</wp:posOffset>
                </wp:positionV>
                <wp:extent cx="545084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3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2.65pt,743.15pt" to="511.85pt,743.15pt" o:allowincell="f" strokecolor="#000000" strokeweight="1.448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913765</wp:posOffset>
                </wp:positionV>
                <wp:extent cx="0" cy="853313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33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3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3.4pt,71.95pt" to="83.4pt,743.85pt" o:allowincell="f" strokecolor="#000000" strokeweight="1.448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6491605</wp:posOffset>
                </wp:positionH>
                <wp:positionV relativeFrom="page">
                  <wp:posOffset>913765</wp:posOffset>
                </wp:positionV>
                <wp:extent cx="0" cy="853313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33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3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1.15pt,71.95pt" to="511.15pt,743.85pt" o:allowincell="f" strokecolor="#000000" strokeweight="1.4483pt">
                <w10:wrap anchorx="page" anchory="page"/>
              </v:line>
            </w:pict>
          </mc:Fallback>
        </mc:AlternateContent>
      </w:r>
    </w:p>
    <w:p>
      <w:pPr>
        <w:ind w:left="340"/>
        <w:spacing w:after="0" w:line="256" w:lineRule="exact"/>
        <w:tabs>
          <w:tab w:leader="none" w:pos="63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生态环境部门审批意见：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1"/>
          <w:szCs w:val="21"/>
          <w:color w:val="auto"/>
        </w:rPr>
        <w:t>余环建〔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2019</w:t>
      </w:r>
      <w:r>
        <w:rPr>
          <w:rFonts w:ascii="宋体" w:cs="宋体" w:eastAsia="宋体" w:hAnsi="宋体"/>
          <w:sz w:val="21"/>
          <w:szCs w:val="21"/>
          <w:color w:val="auto"/>
        </w:rPr>
        <w:t>〕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337 </w:t>
      </w:r>
      <w:r>
        <w:rPr>
          <w:rFonts w:ascii="宋体" w:cs="宋体" w:eastAsia="宋体" w:hAnsi="宋体"/>
          <w:sz w:val="21"/>
          <w:szCs w:val="21"/>
          <w:color w:val="auto"/>
        </w:rPr>
        <w:t>号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jc w:val="both"/>
        <w:ind w:left="340" w:right="346" w:firstLine="422"/>
        <w:spacing w:after="0" w:line="30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根据余姚市登峰塑料电器有限公司报送的《余姚市登峰塑料电器有限公司年产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1000 </w:t>
      </w:r>
      <w:r>
        <w:rPr>
          <w:rFonts w:ascii="宋体" w:cs="宋体" w:eastAsia="宋体" w:hAnsi="宋体"/>
          <w:sz w:val="21"/>
          <w:szCs w:val="21"/>
          <w:color w:val="auto"/>
        </w:rPr>
        <w:t>万套电气配件生产项目建设项目环境影响报告表》，依据《中华人民共和国环境影响评价法》、《浙江省建设项目环境保护管理办法》等相关环保法律规定，经研究，现批复如下：</w:t>
      </w: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jc w:val="both"/>
        <w:ind w:left="340" w:right="346" w:firstLine="422"/>
        <w:spacing w:after="0" w:line="32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一、原则同意《余姚市登峰塑料电器有限公司年产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1000 </w:t>
      </w:r>
      <w:r>
        <w:rPr>
          <w:rFonts w:ascii="宋体" w:cs="宋体" w:eastAsia="宋体" w:hAnsi="宋体"/>
          <w:sz w:val="21"/>
          <w:szCs w:val="21"/>
          <w:color w:val="auto"/>
        </w:rPr>
        <w:t>万套电气配件生产项目建设项目环境影响报告表》结论，同意项目实施。该项目位于余姚市泗门镇楝树下村农场畈，项目总投资约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960 </w:t>
      </w:r>
      <w:r>
        <w:rPr>
          <w:rFonts w:ascii="宋体" w:cs="宋体" w:eastAsia="宋体" w:hAnsi="宋体"/>
          <w:sz w:val="21"/>
          <w:szCs w:val="21"/>
          <w:color w:val="auto"/>
        </w:rPr>
        <w:t>万元，占地面积为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3033m</w:t>
      </w:r>
      <w:r>
        <w:rPr>
          <w:rFonts w:ascii="Times New Roman" w:cs="Times New Roman" w:eastAsia="Times New Roman" w:hAnsi="Times New Roman"/>
          <w:sz w:val="27"/>
          <w:szCs w:val="27"/>
          <w:color w:val="auto"/>
          <w:vertAlign w:val="superscript"/>
        </w:rPr>
        <w:t>2</w:t>
      </w:r>
      <w:r>
        <w:rPr>
          <w:rFonts w:ascii="宋体" w:cs="宋体" w:eastAsia="宋体" w:hAnsi="宋体"/>
          <w:sz w:val="21"/>
          <w:szCs w:val="21"/>
          <w:color w:val="auto"/>
        </w:rPr>
        <w:t>，建筑面积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4200m</w:t>
      </w:r>
      <w:r>
        <w:rPr>
          <w:rFonts w:ascii="Times New Roman" w:cs="Times New Roman" w:eastAsia="Times New Roman" w:hAnsi="Times New Roman"/>
          <w:sz w:val="27"/>
          <w:szCs w:val="27"/>
          <w:color w:val="auto"/>
          <w:vertAlign w:val="superscript"/>
        </w:rPr>
        <w:t>2</w:t>
      </w:r>
      <w:r>
        <w:rPr>
          <w:rFonts w:ascii="宋体" w:cs="宋体" w:eastAsia="宋体" w:hAnsi="宋体"/>
          <w:sz w:val="21"/>
          <w:szCs w:val="21"/>
          <w:color w:val="auto"/>
        </w:rPr>
        <w:t>，主要生产设备：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PVC </w:t>
      </w:r>
      <w:r>
        <w:rPr>
          <w:rFonts w:ascii="宋体" w:cs="宋体" w:eastAsia="宋体" w:hAnsi="宋体"/>
          <w:sz w:val="21"/>
          <w:szCs w:val="21"/>
          <w:color w:val="auto"/>
        </w:rPr>
        <w:t>造粒挤出机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2 </w:t>
      </w:r>
      <w:r>
        <w:rPr>
          <w:rFonts w:ascii="宋体" w:cs="宋体" w:eastAsia="宋体" w:hAnsi="宋体"/>
          <w:sz w:val="21"/>
          <w:szCs w:val="21"/>
          <w:color w:val="auto"/>
        </w:rPr>
        <w:t>台、搅拌机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2 </w:t>
      </w:r>
      <w:r>
        <w:rPr>
          <w:rFonts w:ascii="宋体" w:cs="宋体" w:eastAsia="宋体" w:hAnsi="宋体"/>
          <w:sz w:val="21"/>
          <w:szCs w:val="21"/>
          <w:color w:val="auto"/>
        </w:rPr>
        <w:t>台、芯线挤塑机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5 </w:t>
      </w:r>
      <w:r>
        <w:rPr>
          <w:rFonts w:ascii="宋体" w:cs="宋体" w:eastAsia="宋体" w:hAnsi="宋体"/>
          <w:sz w:val="21"/>
          <w:szCs w:val="21"/>
          <w:color w:val="auto"/>
        </w:rPr>
        <w:t>条、护套挤塑机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1 </w:t>
      </w:r>
      <w:r>
        <w:rPr>
          <w:rFonts w:ascii="宋体" w:cs="宋体" w:eastAsia="宋体" w:hAnsi="宋体"/>
          <w:sz w:val="21"/>
          <w:szCs w:val="21"/>
          <w:color w:val="auto"/>
        </w:rPr>
        <w:t>台、注塑机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15 </w:t>
      </w:r>
      <w:r>
        <w:rPr>
          <w:rFonts w:ascii="宋体" w:cs="宋体" w:eastAsia="宋体" w:hAnsi="宋体"/>
          <w:sz w:val="21"/>
          <w:szCs w:val="21"/>
          <w:color w:val="auto"/>
        </w:rPr>
        <w:t>台、绞合机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3 </w:t>
      </w:r>
      <w:r>
        <w:rPr>
          <w:rFonts w:ascii="宋体" w:cs="宋体" w:eastAsia="宋体" w:hAnsi="宋体"/>
          <w:sz w:val="21"/>
          <w:szCs w:val="21"/>
          <w:color w:val="auto"/>
        </w:rPr>
        <w:t>台、束丝机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3 </w:t>
      </w:r>
      <w:r>
        <w:rPr>
          <w:rFonts w:ascii="宋体" w:cs="宋体" w:eastAsia="宋体" w:hAnsi="宋体"/>
          <w:sz w:val="21"/>
          <w:szCs w:val="21"/>
          <w:color w:val="auto"/>
        </w:rPr>
        <w:t>台、冲床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8 </w:t>
      </w:r>
      <w:r>
        <w:rPr>
          <w:rFonts w:ascii="宋体" w:cs="宋体" w:eastAsia="宋体" w:hAnsi="宋体"/>
          <w:sz w:val="21"/>
          <w:szCs w:val="21"/>
          <w:color w:val="auto"/>
        </w:rPr>
        <w:t>台、粉碎机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1 </w:t>
      </w:r>
      <w:r>
        <w:rPr>
          <w:rFonts w:ascii="宋体" w:cs="宋体" w:eastAsia="宋体" w:hAnsi="宋体"/>
          <w:sz w:val="21"/>
          <w:szCs w:val="21"/>
          <w:color w:val="auto"/>
        </w:rPr>
        <w:t>台等，生产工艺为：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PVC </w:t>
      </w:r>
      <w:r>
        <w:rPr>
          <w:rFonts w:ascii="宋体" w:cs="宋体" w:eastAsia="宋体" w:hAnsi="宋体"/>
          <w:sz w:val="21"/>
          <w:szCs w:val="21"/>
          <w:color w:val="auto"/>
        </w:rPr>
        <w:t>树脂等原料混合搅拌、熔融挤出、冷却、切粒；铜丝束丝、芯线挤塑、成揽、护套挤塑、铜片冲压、剥头铆接、插头注塑、装配和检测包装等。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p>
      <w:pPr>
        <w:ind w:left="340" w:right="366" w:firstLine="422"/>
        <w:spacing w:after="0" w:line="275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二、在项目建设和运行中，必须严格按照环评报告表要求做好环境保护工作，重点做好以下工作：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340" w:right="346" w:firstLine="422"/>
        <w:spacing w:after="0" w:line="29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1</w:t>
      </w:r>
      <w:r>
        <w:rPr>
          <w:rFonts w:ascii="宋体" w:cs="宋体" w:eastAsia="宋体" w:hAnsi="宋体"/>
          <w:sz w:val="21"/>
          <w:szCs w:val="21"/>
          <w:color w:val="auto"/>
        </w:rPr>
        <w:t>、采用和落实先进的生产设备、生产工艺和治污措施，优化系统管理，优化原辅材料，切实从源头上减少和控制污染物的产生和排放。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both"/>
        <w:ind w:left="340" w:right="246" w:firstLine="422"/>
        <w:spacing w:after="0" w:line="318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2</w:t>
      </w:r>
      <w:r>
        <w:rPr>
          <w:rFonts w:ascii="宋体" w:cs="宋体" w:eastAsia="宋体" w:hAnsi="宋体"/>
          <w:sz w:val="21"/>
          <w:szCs w:val="21"/>
          <w:color w:val="auto"/>
        </w:rPr>
        <w:t>、在施工期间必须精心组织，科学施工，采取合理有效的防范措施，确保在施工期间的扬尘、交通噪声、固体废弃物及生活污水、施工设备冲洗废水等对周边环境的影响减小到最低程度。施工阶段作业噪声执行《建筑施工场界环境噪声排放标准》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(GB 12523-2011)</w:t>
      </w:r>
      <w:r>
        <w:rPr>
          <w:rFonts w:ascii="宋体" w:cs="宋体" w:eastAsia="宋体" w:hAnsi="宋体"/>
          <w:sz w:val="21"/>
          <w:szCs w:val="21"/>
          <w:color w:val="auto"/>
        </w:rPr>
        <w:t>。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jc w:val="both"/>
        <w:ind w:left="340" w:right="346" w:firstLine="422"/>
        <w:spacing w:after="0" w:line="323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3</w:t>
      </w:r>
      <w:r>
        <w:rPr>
          <w:rFonts w:ascii="宋体" w:cs="宋体" w:eastAsia="宋体" w:hAnsi="宋体"/>
          <w:sz w:val="21"/>
          <w:szCs w:val="21"/>
          <w:color w:val="auto"/>
        </w:rPr>
        <w:t>、落实废气收集处理设施，采取有效措施提高造粒废气收集效率，最大程度减少废气无组织排放，搅拌粉尘、造粒、挤塑废气经收集处理达标后通过不低于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15 </w:t>
      </w:r>
      <w:r>
        <w:rPr>
          <w:rFonts w:ascii="宋体" w:cs="宋体" w:eastAsia="宋体" w:hAnsi="宋体"/>
          <w:sz w:val="21"/>
          <w:szCs w:val="21"/>
          <w:color w:val="auto"/>
        </w:rPr>
        <w:t>米排气筒高空排放，废气排放执行《大气污染物综合排放标准》（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GB6297-1996</w:t>
      </w:r>
      <w:r>
        <w:rPr>
          <w:rFonts w:ascii="宋体" w:cs="宋体" w:eastAsia="宋体" w:hAnsi="宋体"/>
          <w:sz w:val="21"/>
          <w:szCs w:val="21"/>
          <w:color w:val="auto"/>
        </w:rPr>
        <w:t>）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“</w:t>
      </w:r>
      <w:r>
        <w:rPr>
          <w:rFonts w:ascii="宋体" w:cs="宋体" w:eastAsia="宋体" w:hAnsi="宋体"/>
          <w:sz w:val="21"/>
          <w:szCs w:val="21"/>
          <w:color w:val="auto"/>
        </w:rPr>
        <w:t>新污染源大气污染物排放限值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”</w:t>
      </w:r>
      <w:r>
        <w:rPr>
          <w:rFonts w:ascii="宋体" w:cs="宋体" w:eastAsia="宋体" w:hAnsi="宋体"/>
          <w:sz w:val="21"/>
          <w:szCs w:val="21"/>
          <w:color w:val="auto"/>
        </w:rPr>
        <w:t>二级标准。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jc w:val="both"/>
        <w:ind w:left="340" w:right="346" w:firstLine="422"/>
        <w:spacing w:after="0" w:line="307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4</w:t>
      </w:r>
      <w:r>
        <w:rPr>
          <w:rFonts w:ascii="宋体" w:cs="宋体" w:eastAsia="宋体" w:hAnsi="宋体"/>
          <w:sz w:val="21"/>
          <w:szCs w:val="21"/>
          <w:color w:val="auto"/>
        </w:rPr>
        <w:t>、厂区实行雨污分流。近期，生活污水经处理达到《污水综合排放标准》（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GB 8978-1996</w:t>
      </w:r>
      <w:r>
        <w:rPr>
          <w:rFonts w:ascii="宋体" w:cs="宋体" w:eastAsia="宋体" w:hAnsi="宋体"/>
          <w:sz w:val="21"/>
          <w:szCs w:val="21"/>
          <w:color w:val="auto"/>
        </w:rPr>
        <w:t>）三级标准后委托泗门环卫站清运，远期排入市政污水管网，最终经余姚城市污水处理厂处理达标排放。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jc w:val="both"/>
        <w:ind w:left="340" w:right="346" w:firstLine="422"/>
        <w:spacing w:after="0" w:line="318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5</w:t>
      </w:r>
      <w:r>
        <w:rPr>
          <w:rFonts w:ascii="宋体" w:cs="宋体" w:eastAsia="宋体" w:hAnsi="宋体"/>
          <w:sz w:val="21"/>
          <w:szCs w:val="21"/>
          <w:color w:val="auto"/>
        </w:rPr>
        <w:t>、厂区合理布局，不得随意改动布局，选用低噪声设备，对高噪声源设备、车间落实相应的隔音、降噪、减振措施，厂界环境噪声执行《工业企业厂界环境噪声排放标准》（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GB 12348-2008</w:t>
      </w:r>
      <w:r>
        <w:rPr>
          <w:rFonts w:ascii="宋体" w:cs="宋体" w:eastAsia="宋体" w:hAnsi="宋体"/>
          <w:sz w:val="21"/>
          <w:szCs w:val="21"/>
          <w:color w:val="auto"/>
        </w:rPr>
        <w:t>）中的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2 </w:t>
      </w:r>
      <w:r>
        <w:rPr>
          <w:rFonts w:ascii="宋体" w:cs="宋体" w:eastAsia="宋体" w:hAnsi="宋体"/>
          <w:sz w:val="21"/>
          <w:szCs w:val="21"/>
          <w:color w:val="auto"/>
        </w:rPr>
        <w:t>类标准要求。</w:t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jc w:val="both"/>
        <w:ind w:left="340" w:right="346" w:firstLine="422"/>
        <w:spacing w:after="0" w:line="289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6</w:t>
      </w:r>
      <w:r>
        <w:rPr>
          <w:rFonts w:ascii="宋体" w:cs="宋体" w:eastAsia="宋体" w:hAnsi="宋体"/>
          <w:sz w:val="21"/>
          <w:szCs w:val="21"/>
          <w:color w:val="auto"/>
        </w:rPr>
        <w:t>、固体废弃物必须妥善、规范处置。废活性炭、废吸附剂等危险固废须根据相关法律法规妥善、规范地收集、堆放和储存，并委托有资质单位处置。</w:t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jc w:val="both"/>
        <w:ind w:left="340" w:right="366" w:firstLine="422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三、本建设项目的性质、规模、地点、采用的生产工艺或者防治污染的措施发生重大变动的，建设单位应当按规定重新报批。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ind w:left="760"/>
        <w:spacing w:after="0" w:line="2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四、项目建成后须经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“</w:t>
      </w:r>
      <w:r>
        <w:rPr>
          <w:rFonts w:ascii="宋体" w:cs="宋体" w:eastAsia="宋体" w:hAnsi="宋体"/>
          <w:sz w:val="21"/>
          <w:szCs w:val="21"/>
          <w:color w:val="auto"/>
        </w:rPr>
        <w:t>三同时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”</w:t>
      </w:r>
      <w:r>
        <w:rPr>
          <w:rFonts w:ascii="宋体" w:cs="宋体" w:eastAsia="宋体" w:hAnsi="宋体"/>
          <w:sz w:val="21"/>
          <w:szCs w:val="21"/>
          <w:color w:val="auto"/>
        </w:rPr>
        <w:t>竣工验收合格后方可正式投入生产。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ind w:left="6880"/>
        <w:spacing w:after="0" w:line="240" w:lineRule="exact"/>
        <w:tabs>
          <w:tab w:leader="none" w:pos="78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（盖</w:t>
        <w:tab/>
        <w:t>章）</w:t>
      </w: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ind w:left="6680"/>
        <w:spacing w:after="0" w:line="256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2019 </w:t>
      </w:r>
      <w:r>
        <w:rPr>
          <w:rFonts w:ascii="宋体" w:cs="宋体" w:eastAsia="宋体" w:hAnsi="宋体"/>
          <w:sz w:val="21"/>
          <w:szCs w:val="21"/>
          <w:color w:val="auto"/>
        </w:rPr>
        <w:t>年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9 </w:t>
      </w:r>
      <w:r>
        <w:rPr>
          <w:rFonts w:ascii="宋体" w:cs="宋体" w:eastAsia="宋体" w:hAnsi="宋体"/>
          <w:sz w:val="21"/>
          <w:szCs w:val="21"/>
          <w:color w:val="auto"/>
        </w:rPr>
        <w:t>月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25 </w:t>
      </w:r>
      <w:r>
        <w:rPr>
          <w:rFonts w:ascii="宋体" w:cs="宋体" w:eastAsia="宋体" w:hAnsi="宋体"/>
          <w:sz w:val="21"/>
          <w:szCs w:val="21"/>
          <w:color w:val="auto"/>
        </w:rPr>
        <w:t>日</w:t>
      </w:r>
    </w:p>
    <w:sectPr>
      <w:pgSz w:w="11900" w:h="16838" w:orient="portrait"/>
      <w:cols w:equalWidth="0" w:num="1">
        <w:col w:w="9026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2019-09-26T09:59:46Z</dcterms:created>
  <dcterms:modified xsi:type="dcterms:W3CDTF">2019-09-26T09:59:46Z</dcterms:modified>
</cp:coreProperties>
</file>