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华文中宋" w:eastAsia="方正小标宋简体"/>
          <w:sz w:val="36"/>
        </w:rPr>
      </w:pPr>
      <w:r>
        <w:rPr>
          <w:rFonts w:hint="eastAsia" w:ascii="方正小标宋简体" w:hAnsi="华文中宋" w:eastAsia="方正小标宋简体"/>
          <w:sz w:val="36"/>
        </w:rPr>
        <w:t>余姚市市场监督管理局</w:t>
      </w:r>
    </w:p>
    <w:p>
      <w:pPr>
        <w:spacing w:line="520" w:lineRule="exact"/>
        <w:jc w:val="center"/>
        <w:rPr>
          <w:rFonts w:hint="eastAsia" w:ascii="方正小标宋简体" w:hAnsi="华文中宋" w:eastAsia="方正小标宋简体"/>
          <w:sz w:val="36"/>
        </w:rPr>
      </w:pPr>
      <w:r>
        <w:rPr>
          <w:rFonts w:hint="eastAsia" w:ascii="方正小标宋简体" w:hAnsi="华文中宋" w:eastAsia="方正小标宋简体"/>
          <w:sz w:val="36"/>
          <w:lang w:eastAsia="zh-CN"/>
        </w:rPr>
        <w:t>20</w:t>
      </w:r>
      <w:r>
        <w:rPr>
          <w:rFonts w:hint="eastAsia" w:ascii="方正小标宋简体" w:hAnsi="华文中宋" w:eastAsia="方正小标宋简体"/>
          <w:sz w:val="36"/>
          <w:lang w:val="en-US" w:eastAsia="zh-CN"/>
        </w:rPr>
        <w:t>22</w:t>
      </w:r>
      <w:r>
        <w:rPr>
          <w:rFonts w:hint="eastAsia" w:ascii="方正小标宋简体" w:hAnsi="华文中宋" w:eastAsia="方正小标宋简体"/>
          <w:sz w:val="36"/>
        </w:rPr>
        <w:t>年政府信息公开工作年度报告</w:t>
      </w:r>
    </w:p>
    <w:p>
      <w:pPr>
        <w:spacing w:line="520" w:lineRule="exact"/>
        <w:jc w:val="center"/>
        <w:rPr>
          <w:rFonts w:hint="eastAsia" w:ascii="方正小标宋简体" w:hAnsi="华文中宋" w:eastAsia="方正小标宋简体"/>
          <w:sz w:val="36"/>
        </w:rPr>
      </w:pP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eastAsia" w:ascii="仿宋_GB2312" w:eastAsia="仿宋_GB2312"/>
          <w:sz w:val="32"/>
          <w:lang w:eastAsia="zh-CN"/>
        </w:rPr>
      </w:pPr>
      <w:r>
        <w:rPr>
          <w:rFonts w:hint="eastAsia" w:ascii="仿宋_GB2312" w:eastAsia="仿宋_GB2312"/>
          <w:sz w:val="32"/>
        </w:rPr>
        <w:t>20</w:t>
      </w:r>
      <w:r>
        <w:rPr>
          <w:rFonts w:hint="eastAsia" w:ascii="仿宋_GB2312" w:eastAsia="仿宋_GB2312"/>
          <w:sz w:val="32"/>
          <w:lang w:val="en-US" w:eastAsia="zh-CN"/>
        </w:rPr>
        <w:t>22</w:t>
      </w:r>
      <w:r>
        <w:rPr>
          <w:rFonts w:hint="eastAsia" w:ascii="仿宋_GB2312" w:eastAsia="仿宋_GB2312"/>
          <w:sz w:val="32"/>
        </w:rPr>
        <w:t>年，</w:t>
      </w:r>
      <w:r>
        <w:rPr>
          <w:rFonts w:hint="eastAsia" w:ascii="仿宋_GB2312" w:eastAsia="仿宋_GB2312"/>
          <w:sz w:val="32"/>
          <w:lang w:eastAsia="zh-CN"/>
        </w:rPr>
        <w:t>在余姚市委、市政府的正确领导下，</w:t>
      </w:r>
      <w:r>
        <w:rPr>
          <w:rFonts w:hint="eastAsia" w:ascii="仿宋_GB2312" w:eastAsia="仿宋_GB2312"/>
          <w:sz w:val="32"/>
        </w:rPr>
        <w:t>余姚市</w:t>
      </w:r>
      <w:r>
        <w:rPr>
          <w:rFonts w:hint="eastAsia" w:ascii="仿宋_GB2312" w:eastAsia="仿宋_GB2312"/>
          <w:sz w:val="32"/>
          <w:lang w:eastAsia="zh-CN"/>
        </w:rPr>
        <w:t>市场监管局党委高度重视并积极推进政府信息公开工作，认真贯彻落实</w:t>
      </w:r>
      <w:r>
        <w:rPr>
          <w:rFonts w:hint="eastAsia" w:ascii="仿宋_GB2312" w:eastAsia="仿宋_GB2312"/>
          <w:sz w:val="32"/>
        </w:rPr>
        <w:t>《中华人民共和国政府信息公开条例》</w:t>
      </w:r>
      <w:r>
        <w:rPr>
          <w:rFonts w:hint="eastAsia" w:ascii="仿宋_GB2312" w:eastAsia="仿宋_GB2312"/>
          <w:sz w:val="32"/>
          <w:lang w:eastAsia="zh-CN"/>
        </w:rPr>
        <w:t>、《国务院办公厅秘书局关于印发政府网站与政务新媒体检查指标、监管工作年度考核指标的通知 》、《国务院办公厅关于印发政府网站发展指引的通知》、《浙江省人民政府办公厅关于印发浙江省全面推进政务公开工作实施细则的通知》等</w:t>
      </w:r>
      <w:r>
        <w:rPr>
          <w:rFonts w:hint="eastAsia" w:ascii="仿宋_GB2312" w:eastAsia="仿宋_GB2312"/>
          <w:sz w:val="32"/>
        </w:rPr>
        <w:t>政策文件要求，</w:t>
      </w:r>
      <w:r>
        <w:rPr>
          <w:rFonts w:hint="eastAsia" w:ascii="仿宋_GB2312" w:eastAsia="仿宋_GB2312"/>
          <w:sz w:val="32"/>
          <w:lang w:eastAsia="zh-CN"/>
        </w:rPr>
        <w:t>建立健全政务公开制度，深化标准化规范化建设，坚持以公开为常态、不公开为例外，确保政府信息全面、及时、准确公开，提高工作的透明度和公信力，为经济社会活动和人民群众生产、生活提供服务，取得了较好成效。</w:t>
      </w: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eastAsia" w:ascii="黑体" w:eastAsia="黑体"/>
          <w:sz w:val="32"/>
          <w:lang w:eastAsia="zh-CN"/>
        </w:rPr>
      </w:pPr>
      <w:r>
        <w:rPr>
          <w:rFonts w:hint="eastAsia" w:ascii="黑体" w:eastAsia="黑体"/>
          <w:sz w:val="32"/>
        </w:rPr>
        <w:t>一、</w:t>
      </w:r>
      <w:r>
        <w:rPr>
          <w:rFonts w:hint="eastAsia" w:ascii="黑体" w:eastAsia="黑体"/>
          <w:sz w:val="32"/>
          <w:lang w:eastAsia="zh-CN"/>
        </w:rPr>
        <w:t>总体情况</w:t>
      </w: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eastAsia" w:ascii="仿宋_GB2312" w:eastAsia="仿宋_GB2312"/>
          <w:sz w:val="32"/>
          <w:lang w:eastAsia="zh-CN"/>
        </w:rPr>
      </w:pPr>
      <w:r>
        <w:rPr>
          <w:rFonts w:hint="eastAsia" w:ascii="仿宋_GB2312" w:eastAsia="仿宋_GB2312"/>
          <w:sz w:val="32"/>
          <w:lang w:eastAsia="zh-CN"/>
        </w:rPr>
        <w:t>202</w:t>
      </w:r>
      <w:r>
        <w:rPr>
          <w:rFonts w:hint="eastAsia" w:ascii="仿宋_GB2312" w:eastAsia="仿宋_GB2312"/>
          <w:sz w:val="32"/>
          <w:lang w:val="en-US" w:eastAsia="zh-CN"/>
        </w:rPr>
        <w:t>2</w:t>
      </w:r>
      <w:r>
        <w:rPr>
          <w:rFonts w:hint="eastAsia" w:ascii="仿宋_GB2312" w:eastAsia="仿宋_GB2312"/>
          <w:sz w:val="32"/>
          <w:lang w:eastAsia="zh-CN"/>
        </w:rPr>
        <w:t>年在市委、市政府和上级部门的领导下,我局主要从以下几方面夯实政务公开工作基础：</w:t>
      </w:r>
      <w:r>
        <w:rPr>
          <w:rFonts w:hint="eastAsia" w:ascii="仿宋_GB2312" w:eastAsia="仿宋_GB2312"/>
          <w:b/>
          <w:bCs/>
          <w:sz w:val="32"/>
          <w:lang w:eastAsia="zh-CN"/>
        </w:rPr>
        <w:t>一是</w:t>
      </w:r>
      <w:r>
        <w:rPr>
          <w:rFonts w:hint="eastAsia" w:ascii="仿宋_GB2312" w:eastAsia="仿宋_GB2312"/>
          <w:sz w:val="32"/>
          <w:lang w:eastAsia="zh-CN"/>
        </w:rPr>
        <w:t>强化组织领导。建立局主要领导统管、分管领导亲自抓的工作机制，确定专人负责本单位政府信息发布，确保政府信息公开工作顺利推进，今年根据人事变动等情况及时对本单位领导信息、内设机构进行了更新。</w:t>
      </w:r>
      <w:r>
        <w:rPr>
          <w:rFonts w:hint="eastAsia" w:ascii="仿宋_GB2312" w:eastAsia="仿宋_GB2312"/>
          <w:b/>
          <w:bCs/>
          <w:sz w:val="32"/>
          <w:lang w:eastAsia="zh-CN"/>
        </w:rPr>
        <w:t>二是</w:t>
      </w:r>
      <w:r>
        <w:rPr>
          <w:rFonts w:hint="eastAsia" w:ascii="仿宋_GB2312" w:eastAsia="仿宋_GB2312"/>
          <w:sz w:val="32"/>
          <w:lang w:eastAsia="zh-CN"/>
        </w:rPr>
        <w:t>完善制度建设。遵循“先审查、后公开、谁审查、谁负责、谁公开、谁负责，既确保国家秘密安全、又方便政府信息公开”的原则，建立政府信息公开保密审批制度，制定“三级审查”的保密审查流转程序；将政府信息公开工作明确列入机关各科室年度工作目标责任制考核，明确责任分工明细,落实好政府信息公开制度和责任追究制度。</w:t>
      </w:r>
      <w:r>
        <w:rPr>
          <w:rFonts w:hint="eastAsia" w:ascii="仿宋_GB2312" w:eastAsia="仿宋_GB2312"/>
          <w:b/>
          <w:bCs/>
          <w:sz w:val="32"/>
          <w:lang w:eastAsia="zh-CN"/>
        </w:rPr>
        <w:t>三是</w:t>
      </w:r>
      <w:r>
        <w:rPr>
          <w:rFonts w:hint="eastAsia" w:ascii="仿宋_GB2312" w:eastAsia="仿宋_GB2312"/>
          <w:sz w:val="32"/>
          <w:lang w:eastAsia="zh-CN"/>
        </w:rPr>
        <w:t>规范公开内容。从政治导向、政策法律、语言文字、国家秘密、公民隐私等各方面把关信息公开内容，按要求完成栏目信息更新，杜绝出现空白栏目和超期栏目；定期排查已公开信息，补差补缺，对网站监测出的问题第一时间整改，确保网站发布信息的准确性和规范性；始终做好保密工作，确保在做好政府信息公开工作中，不发生失泄密问题。</w:t>
      </w:r>
      <w:r>
        <w:rPr>
          <w:rFonts w:hint="eastAsia" w:ascii="仿宋_GB2312" w:eastAsia="仿宋_GB2312"/>
          <w:b/>
          <w:bCs/>
          <w:sz w:val="32"/>
          <w:lang w:eastAsia="zh-CN"/>
        </w:rPr>
        <w:t>四是</w:t>
      </w:r>
      <w:r>
        <w:rPr>
          <w:rFonts w:hint="eastAsia" w:ascii="仿宋_GB2312" w:eastAsia="仿宋_GB2312"/>
          <w:b w:val="0"/>
          <w:bCs w:val="0"/>
          <w:sz w:val="32"/>
          <w:lang w:eastAsia="zh-CN"/>
        </w:rPr>
        <w:t>加强业务交流。</w:t>
      </w:r>
      <w:r>
        <w:rPr>
          <w:rFonts w:hint="eastAsia" w:ascii="仿宋_GB2312" w:eastAsia="仿宋_GB2312"/>
          <w:sz w:val="32"/>
          <w:lang w:eastAsia="zh-CN"/>
        </w:rPr>
        <w:t>积极参加相关培训会议，增强业务能力，并主动学习借鉴其他单位工作经验；加强与市府办政务公开科的学习交流，按时完成交办任务，及时上报相关统计数据及资料；按计划做好对政务公开工作的部署、培训、检查和考核工作。</w:t>
      </w:r>
      <w:r>
        <w:rPr>
          <w:rFonts w:hint="eastAsia" w:ascii="仿宋_GB2312" w:eastAsia="仿宋_GB2312"/>
          <w:b/>
          <w:bCs/>
          <w:sz w:val="32"/>
          <w:lang w:eastAsia="zh-CN"/>
        </w:rPr>
        <w:t>五是</w:t>
      </w:r>
      <w:r>
        <w:rPr>
          <w:rFonts w:hint="eastAsia" w:ascii="仿宋_GB2312" w:eastAsia="仿宋_GB2312"/>
          <w:b w:val="0"/>
          <w:bCs w:val="0"/>
          <w:sz w:val="32"/>
          <w:lang w:val="en-US" w:eastAsia="zh-CN"/>
        </w:rPr>
        <w:t>落实工作要求。</w:t>
      </w:r>
      <w:r>
        <w:rPr>
          <w:rFonts w:hint="eastAsia" w:ascii="仿宋_GB2312" w:eastAsia="仿宋_GB2312"/>
          <w:sz w:val="32"/>
          <w:lang w:eastAsia="zh-CN"/>
        </w:rPr>
        <w:t>按规定内容、规定时限、规定栏目公布本单位政府信息公开工作年度报告。</w:t>
      </w:r>
    </w:p>
    <w:p>
      <w:pPr>
        <w:keepNext w:val="0"/>
        <w:keepLines w:val="0"/>
        <w:pageBreakBefore w:val="0"/>
        <w:widowControl/>
        <w:kinsoku/>
        <w:wordWrap/>
        <w:overflowPunct/>
        <w:topLinePunct w:val="0"/>
        <w:autoSpaceDE/>
        <w:autoSpaceDN/>
        <w:bidi w:val="0"/>
        <w:adjustRightInd/>
        <w:snapToGrid/>
        <w:spacing w:line="580" w:lineRule="exact"/>
        <w:ind w:firstLine="640"/>
        <w:jc w:val="both"/>
        <w:textAlignment w:val="auto"/>
        <w:outlineLvl w:val="9"/>
        <w:rPr>
          <w:rFonts w:hint="eastAsia" w:ascii="黑体" w:eastAsia="黑体"/>
          <w:sz w:val="32"/>
          <w:lang w:eastAsia="zh-CN"/>
        </w:rPr>
      </w:pPr>
      <w:r>
        <w:rPr>
          <w:rFonts w:hint="eastAsia" w:ascii="黑体" w:eastAsia="黑体"/>
          <w:sz w:val="32"/>
        </w:rPr>
        <w:t>二、主动公开</w:t>
      </w:r>
      <w:r>
        <w:rPr>
          <w:rFonts w:hint="eastAsia" w:ascii="黑体" w:eastAsia="黑体"/>
          <w:sz w:val="32"/>
          <w:lang w:eastAsia="zh-CN"/>
        </w:rPr>
        <w:t>政府信息情况</w:t>
      </w:r>
    </w:p>
    <w:tbl>
      <w:tblPr>
        <w:tblStyle w:val="4"/>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eastAsia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56758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eastAsia="黑体"/>
          <w:sz w:val="32"/>
        </w:rPr>
      </w:pPr>
      <w:r>
        <w:rPr>
          <w:rFonts w:hint="eastAsia" w:ascii="黑体" w:eastAsia="黑体"/>
          <w:sz w:val="32"/>
        </w:rPr>
        <w:t>收到和处理政府信息公开申请情况</w:t>
      </w:r>
    </w:p>
    <w:tbl>
      <w:tblPr>
        <w:tblStyle w:val="4"/>
        <w:tblW w:w="9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restart"/>
            <w:noWrap w:val="0"/>
            <w:vAlign w:val="center"/>
          </w:tcPr>
          <w:p>
            <w:pPr>
              <w:spacing w:line="400" w:lineRule="exact"/>
              <w:rPr>
                <w:rFonts w:ascii="宋体" w:eastAsia="宋体" w:cs="Times New Roman"/>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74" w:type="dxa"/>
            <w:gridSpan w:val="7"/>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eastAsia="宋体" w:cs="Times New Roman"/>
                <w:sz w:val="18"/>
                <w:szCs w:val="18"/>
              </w:rPr>
            </w:pPr>
          </w:p>
        </w:tc>
        <w:tc>
          <w:tcPr>
            <w:tcW w:w="839" w:type="dxa"/>
            <w:vMerge w:val="restart"/>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自然人</w:t>
            </w:r>
          </w:p>
        </w:tc>
        <w:tc>
          <w:tcPr>
            <w:tcW w:w="3705" w:type="dxa"/>
            <w:gridSpan w:val="5"/>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法人或其他组织</w:t>
            </w:r>
          </w:p>
        </w:tc>
        <w:tc>
          <w:tcPr>
            <w:tcW w:w="630" w:type="dxa"/>
            <w:vMerge w:val="restart"/>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eastAsia="宋体" w:cs="Times New Roman"/>
                <w:sz w:val="18"/>
                <w:szCs w:val="18"/>
              </w:rPr>
            </w:pPr>
          </w:p>
        </w:tc>
        <w:tc>
          <w:tcPr>
            <w:tcW w:w="839" w:type="dxa"/>
            <w:vMerge w:val="continue"/>
            <w:noWrap w:val="0"/>
            <w:vAlign w:val="center"/>
          </w:tcPr>
          <w:p>
            <w:pPr>
              <w:spacing w:line="400" w:lineRule="exact"/>
              <w:rPr>
                <w:rFonts w:ascii="黑体" w:hAnsi="黑体" w:eastAsia="黑体" w:cs="Times New Roman"/>
                <w:sz w:val="24"/>
                <w:szCs w:val="24"/>
              </w:rPr>
            </w:pPr>
          </w:p>
        </w:tc>
        <w:tc>
          <w:tcPr>
            <w:tcW w:w="709" w:type="dxa"/>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商业企业</w:t>
            </w:r>
          </w:p>
        </w:tc>
        <w:tc>
          <w:tcPr>
            <w:tcW w:w="709" w:type="dxa"/>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科研机构</w:t>
            </w:r>
          </w:p>
        </w:tc>
        <w:tc>
          <w:tcPr>
            <w:tcW w:w="992" w:type="dxa"/>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社会公益组织</w:t>
            </w:r>
          </w:p>
        </w:tc>
        <w:tc>
          <w:tcPr>
            <w:tcW w:w="814" w:type="dxa"/>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法律服务机构</w:t>
            </w:r>
          </w:p>
        </w:tc>
        <w:tc>
          <w:tcPr>
            <w:tcW w:w="481" w:type="dxa"/>
            <w:noWrap w:val="0"/>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其他</w:t>
            </w:r>
          </w:p>
        </w:tc>
        <w:tc>
          <w:tcPr>
            <w:tcW w:w="630" w:type="dxa"/>
            <w:vMerge w:val="continue"/>
            <w:noWrap w:val="0"/>
            <w:vAlign w:val="center"/>
          </w:tcPr>
          <w:p>
            <w:pPr>
              <w:spacing w:line="400" w:lineRule="exact"/>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25" w:type="dxa"/>
            <w:gridSpan w:val="3"/>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一、本年新收到政府信息公开申请数量</w:t>
            </w:r>
          </w:p>
        </w:tc>
        <w:tc>
          <w:tcPr>
            <w:tcW w:w="839"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225" w:type="dxa"/>
            <w:gridSpan w:val="3"/>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二、上年转结政府信息公开申请数量</w:t>
            </w:r>
          </w:p>
        </w:tc>
        <w:tc>
          <w:tcPr>
            <w:tcW w:w="839"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restart"/>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三、本年度办理结果</w:t>
            </w:r>
          </w:p>
        </w:tc>
        <w:tc>
          <w:tcPr>
            <w:tcW w:w="3170" w:type="dxa"/>
            <w:gridSpan w:val="2"/>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（一）予以公开</w:t>
            </w:r>
          </w:p>
        </w:tc>
        <w:tc>
          <w:tcPr>
            <w:tcW w:w="839"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3170" w:type="dxa"/>
            <w:gridSpan w:val="2"/>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（二）部分公开（区分处理的，只计这一情形，不计其他情形）</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restart"/>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（三）不予公开</w:t>
            </w: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属于国家秘密</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其他法律行政法规禁止公开</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危及“三安全一稳定”</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保护第三方合法权益</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属于三类内部事务信息</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属于四类过程性信息</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7.</w:t>
            </w:r>
            <w:r>
              <w:rPr>
                <w:rFonts w:hint="eastAsia" w:ascii="仿宋_GB2312" w:hAnsi="仿宋_GB2312" w:eastAsia="仿宋_GB2312" w:cs="仿宋_GB2312"/>
                <w:sz w:val="24"/>
                <w:szCs w:val="24"/>
              </w:rPr>
              <w:t>属于行政执法案卷</w:t>
            </w:r>
          </w:p>
        </w:tc>
        <w:tc>
          <w:tcPr>
            <w:tcW w:w="839"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8.</w:t>
            </w:r>
            <w:r>
              <w:rPr>
                <w:rFonts w:hint="eastAsia" w:ascii="仿宋_GB2312" w:hAnsi="仿宋_GB2312" w:eastAsia="仿宋_GB2312" w:cs="仿宋_GB2312"/>
                <w:sz w:val="24"/>
                <w:szCs w:val="24"/>
              </w:rPr>
              <w:t>属于行政查询事项</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restart"/>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（四）无法提供</w:t>
            </w: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本机关不掌握相关政府信息</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没有现成信息需要另行制作</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补正后申请内容仍不明确</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restart"/>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（五）不予处理</w:t>
            </w: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信访举报投诉类申请</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重复申请</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要求提供公开出版物</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无正当理由大量反复申请</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continue"/>
            <w:noWrap w:val="0"/>
            <w:vAlign w:val="center"/>
          </w:tcPr>
          <w:p>
            <w:pPr>
              <w:spacing w:line="400" w:lineRule="exact"/>
              <w:rPr>
                <w:rFonts w:ascii="仿宋_GB2312" w:hAnsi="仿宋_GB2312" w:eastAsia="仿宋_GB2312" w:cs="Times New Roman"/>
                <w:sz w:val="24"/>
                <w:szCs w:val="24"/>
              </w:rPr>
            </w:pPr>
          </w:p>
        </w:tc>
        <w:tc>
          <w:tcPr>
            <w:tcW w:w="2029" w:type="dxa"/>
            <w:noWrap w:val="0"/>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要求行政机关确认或重新出具已获取信息</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1141" w:type="dxa"/>
            <w:vMerge w:val="restart"/>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（六）其他处理</w:t>
            </w:r>
          </w:p>
        </w:tc>
        <w:tc>
          <w:tcPr>
            <w:tcW w:w="202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1.申请人无正当理由逾期不补正、行政机关不再处理其政府信息公开申请</w:t>
            </w:r>
          </w:p>
        </w:tc>
        <w:tc>
          <w:tcPr>
            <w:tcW w:w="839"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055" w:type="dxa"/>
            <w:vMerge w:val="continue"/>
            <w:noWrap w:val="0"/>
            <w:vAlign w:val="center"/>
          </w:tcPr>
          <w:p>
            <w:pPr>
              <w:spacing w:line="400" w:lineRule="exact"/>
            </w:pPr>
          </w:p>
        </w:tc>
        <w:tc>
          <w:tcPr>
            <w:tcW w:w="1141" w:type="dxa"/>
            <w:vMerge w:val="continue"/>
            <w:noWrap w:val="0"/>
            <w:vAlign w:val="center"/>
          </w:tcPr>
          <w:p>
            <w:pPr>
              <w:spacing w:line="400" w:lineRule="exact"/>
            </w:pPr>
          </w:p>
        </w:tc>
        <w:tc>
          <w:tcPr>
            <w:tcW w:w="202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2.申请人逾期未按收费通知要求缴纳费用、行政机关不再处理其政府信息公开申请</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szCs w:val="24"/>
              </w:rPr>
            </w:pPr>
          </w:p>
        </w:tc>
        <w:tc>
          <w:tcPr>
            <w:tcW w:w="1141" w:type="dxa"/>
            <w:vMerge w:val="continue"/>
            <w:noWrap w:val="0"/>
            <w:vAlign w:val="center"/>
          </w:tcPr>
          <w:p>
            <w:pPr>
              <w:spacing w:line="400" w:lineRule="exact"/>
              <w:rPr>
                <w:rFonts w:hint="eastAsia" w:ascii="仿宋_GB2312" w:hAnsi="仿宋_GB2312" w:eastAsia="仿宋_GB2312" w:cs="仿宋_GB2312"/>
                <w:sz w:val="24"/>
                <w:szCs w:val="24"/>
              </w:rPr>
            </w:pPr>
          </w:p>
        </w:tc>
        <w:tc>
          <w:tcPr>
            <w:tcW w:w="202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3.其他</w:t>
            </w:r>
          </w:p>
        </w:tc>
        <w:tc>
          <w:tcPr>
            <w:tcW w:w="839"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55" w:type="dxa"/>
            <w:vMerge w:val="continue"/>
            <w:noWrap w:val="0"/>
            <w:vAlign w:val="center"/>
          </w:tcPr>
          <w:p>
            <w:pPr>
              <w:spacing w:line="400" w:lineRule="exact"/>
              <w:rPr>
                <w:rFonts w:ascii="仿宋_GB2312" w:hAnsi="仿宋_GB2312" w:eastAsia="仿宋_GB2312" w:cs="Times New Roman"/>
                <w:sz w:val="24"/>
                <w:szCs w:val="24"/>
              </w:rPr>
            </w:pPr>
          </w:p>
        </w:tc>
        <w:tc>
          <w:tcPr>
            <w:tcW w:w="3170" w:type="dxa"/>
            <w:gridSpan w:val="2"/>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（七）总计</w:t>
            </w:r>
          </w:p>
        </w:tc>
        <w:tc>
          <w:tcPr>
            <w:tcW w:w="839" w:type="dxa"/>
            <w:noWrap w:val="0"/>
            <w:vAlign w:val="center"/>
          </w:tcPr>
          <w:p>
            <w:pPr>
              <w:spacing w:line="4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225" w:type="dxa"/>
            <w:gridSpan w:val="3"/>
            <w:noWrap w:val="0"/>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四、转结下年度继续办理</w:t>
            </w:r>
          </w:p>
        </w:tc>
        <w:tc>
          <w:tcPr>
            <w:tcW w:w="839" w:type="dxa"/>
            <w:noWrap w:val="0"/>
            <w:vAlign w:val="center"/>
          </w:tcPr>
          <w:p>
            <w:pPr>
              <w:spacing w:line="40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481"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630" w:type="dxa"/>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0</w:t>
            </w:r>
          </w:p>
        </w:tc>
      </w:tr>
    </w:tbl>
    <w:p>
      <w:pPr>
        <w:keepNext w:val="0"/>
        <w:keepLines w:val="0"/>
        <w:pageBreakBefore w:val="0"/>
        <w:widowControl/>
        <w:kinsoku/>
        <w:wordWrap/>
        <w:overflowPunct/>
        <w:topLinePunct w:val="0"/>
        <w:autoSpaceDE/>
        <w:autoSpaceDN/>
        <w:bidi w:val="0"/>
        <w:spacing w:line="540" w:lineRule="exact"/>
        <w:ind w:firstLine="640"/>
        <w:jc w:val="both"/>
        <w:textAlignment w:val="auto"/>
        <w:rPr>
          <w:rFonts w:hint="eastAsia" w:ascii="黑体" w:eastAsia="黑体"/>
          <w:sz w:val="32"/>
        </w:rPr>
      </w:pPr>
      <w:r>
        <w:rPr>
          <w:rFonts w:hint="eastAsia" w:ascii="黑体" w:eastAsia="黑体"/>
          <w:sz w:val="32"/>
          <w:lang w:eastAsia="zh-CN"/>
        </w:rPr>
        <w:t>四、政府信息公开行政复议、行政诉讼情况</w:t>
      </w:r>
    </w:p>
    <w:tbl>
      <w:tblPr>
        <w:tblStyle w:val="4"/>
        <w:tblpPr w:leftFromText="180" w:rightFromText="180" w:vertAnchor="text" w:horzAnchor="page" w:tblpXSpec="center" w:tblpY="289"/>
        <w:tblOverlap w:val="never"/>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r>
    </w:tbl>
    <w:p>
      <w:pPr>
        <w:keepNext w:val="0"/>
        <w:keepLines w:val="0"/>
        <w:pageBreakBefore w:val="0"/>
        <w:widowControl/>
        <w:numPr>
          <w:ilvl w:val="0"/>
          <w:numId w:val="0"/>
        </w:numPr>
        <w:kinsoku/>
        <w:wordWrap/>
        <w:overflowPunct/>
        <w:topLinePunct w:val="0"/>
        <w:autoSpaceDE/>
        <w:autoSpaceDN/>
        <w:bidi w:val="0"/>
        <w:spacing w:line="540" w:lineRule="exact"/>
        <w:ind w:firstLine="640" w:firstLineChars="200"/>
        <w:jc w:val="both"/>
        <w:textAlignment w:val="auto"/>
        <w:rPr>
          <w:rFonts w:hint="eastAsia" w:ascii="黑体" w:eastAsia="黑体"/>
          <w:sz w:val="32"/>
        </w:rPr>
      </w:pPr>
      <w:r>
        <w:rPr>
          <w:rFonts w:hint="eastAsia" w:ascii="黑体" w:eastAsia="黑体"/>
          <w:sz w:val="32"/>
          <w:lang w:eastAsia="zh-CN"/>
        </w:rPr>
        <w:t>五、</w:t>
      </w:r>
      <w:r>
        <w:rPr>
          <w:rFonts w:hint="eastAsia" w:ascii="黑体" w:eastAsia="黑体"/>
          <w:sz w:val="32"/>
        </w:rPr>
        <w:t>存在的主要问题及改进</w:t>
      </w:r>
      <w:r>
        <w:rPr>
          <w:rFonts w:hint="eastAsia" w:ascii="黑体" w:eastAsia="黑体"/>
          <w:sz w:val="32"/>
          <w:lang w:eastAsia="zh-CN"/>
        </w:rPr>
        <w:t>情况</w:t>
      </w:r>
    </w:p>
    <w:p>
      <w:pPr>
        <w:keepNext w:val="0"/>
        <w:keepLines w:val="0"/>
        <w:pageBreakBefore w:val="0"/>
        <w:widowControl/>
        <w:kinsoku/>
        <w:wordWrap/>
        <w:overflowPunct/>
        <w:topLinePunct w:val="0"/>
        <w:autoSpaceDE/>
        <w:autoSpaceDN/>
        <w:bidi w:val="0"/>
        <w:adjustRightInd/>
        <w:snapToGrid/>
        <w:spacing w:line="580" w:lineRule="exact"/>
        <w:ind w:firstLine="640"/>
        <w:jc w:val="both"/>
        <w:textAlignment w:val="auto"/>
        <w:outlineLvl w:val="9"/>
        <w:rPr>
          <w:rFonts w:hint="eastAsia" w:ascii="仿宋_GB2312" w:eastAsia="仿宋_GB2312"/>
          <w:sz w:val="32"/>
          <w:lang w:eastAsia="zh-CN"/>
        </w:rPr>
      </w:pPr>
      <w:r>
        <w:rPr>
          <w:rFonts w:hint="eastAsia" w:ascii="仿宋_GB2312" w:eastAsia="仿宋_GB2312"/>
          <w:sz w:val="32"/>
          <w:szCs w:val="32"/>
          <w:lang w:val="en-US" w:eastAsia="zh-CN"/>
        </w:rPr>
        <w:t>2022年，我局政府信息公开工作仍存在不足,主要表现为：</w:t>
      </w:r>
      <w:r>
        <w:rPr>
          <w:rFonts w:hint="eastAsia" w:ascii="仿宋_GB2312" w:eastAsia="仿宋_GB2312"/>
          <w:b/>
          <w:bCs/>
          <w:sz w:val="32"/>
          <w:lang w:eastAsia="zh-CN"/>
        </w:rPr>
        <w:t>一是</w:t>
      </w:r>
      <w:r>
        <w:rPr>
          <w:rFonts w:hint="eastAsia" w:ascii="仿宋_GB2312" w:eastAsia="仿宋_GB2312"/>
          <w:sz w:val="32"/>
          <w:lang w:eastAsia="zh-CN"/>
        </w:rPr>
        <w:t>政务公开信息的时效性不够强，部分主动公开事项更新时间不够及时。</w:t>
      </w:r>
      <w:r>
        <w:rPr>
          <w:rFonts w:hint="eastAsia" w:ascii="仿宋_GB2312" w:eastAsia="仿宋_GB2312"/>
          <w:b/>
          <w:bCs/>
          <w:sz w:val="32"/>
          <w:lang w:eastAsia="zh-CN"/>
        </w:rPr>
        <w:t>二是</w:t>
      </w:r>
      <w:r>
        <w:rPr>
          <w:rFonts w:hint="eastAsia" w:ascii="仿宋_GB2312" w:eastAsia="仿宋_GB2312"/>
          <w:b w:val="0"/>
          <w:bCs w:val="0"/>
          <w:sz w:val="32"/>
          <w:lang w:val="en-US" w:eastAsia="zh-CN"/>
        </w:rPr>
        <w:t>政府公开信息的数量不够多，部分主动公开栏目更新频率不够高</w:t>
      </w:r>
      <w:r>
        <w:rPr>
          <w:rFonts w:hint="eastAsia" w:ascii="仿宋_GB2312" w:eastAsia="仿宋_GB2312"/>
          <w:b w:val="0"/>
          <w:bCs w:val="0"/>
          <w:sz w:val="32"/>
          <w:lang w:eastAsia="zh-CN"/>
        </w:rPr>
        <w:t>。</w:t>
      </w:r>
      <w:r>
        <w:rPr>
          <w:rFonts w:hint="eastAsia" w:ascii="仿宋_GB2312" w:eastAsia="仿宋_GB2312"/>
          <w:b/>
          <w:bCs/>
          <w:sz w:val="32"/>
          <w:lang w:eastAsia="zh-CN"/>
        </w:rPr>
        <w:t>三是</w:t>
      </w:r>
      <w:r>
        <w:rPr>
          <w:rFonts w:hint="eastAsia" w:ascii="仿宋_GB2312" w:eastAsia="仿宋_GB2312"/>
          <w:sz w:val="32"/>
          <w:lang w:eastAsia="zh-CN"/>
        </w:rPr>
        <w:t>宣传和引导工作力度有待加强，公众认识度和参与度不足。</w:t>
      </w:r>
    </w:p>
    <w:p>
      <w:pPr>
        <w:keepNext w:val="0"/>
        <w:keepLines w:val="0"/>
        <w:pageBreakBefore w:val="0"/>
        <w:widowControl/>
        <w:kinsoku/>
        <w:wordWrap/>
        <w:overflowPunct/>
        <w:topLinePunct w:val="0"/>
        <w:autoSpaceDE/>
        <w:autoSpaceDN/>
        <w:bidi w:val="0"/>
        <w:adjustRightInd/>
        <w:snapToGrid/>
        <w:spacing w:line="580" w:lineRule="exact"/>
        <w:ind w:firstLine="640"/>
        <w:jc w:val="both"/>
        <w:textAlignment w:val="auto"/>
        <w:outlineLvl w:val="9"/>
        <w:rPr>
          <w:rFonts w:hint="default" w:ascii="仿宋_GB2312" w:eastAsia="仿宋_GB2312"/>
          <w:sz w:val="32"/>
          <w:lang w:val="en-US" w:eastAsia="zh-CN"/>
        </w:rPr>
      </w:pPr>
      <w:r>
        <w:rPr>
          <w:rFonts w:hint="eastAsia" w:ascii="仿宋_GB2312" w:eastAsia="仿宋_GB2312"/>
          <w:sz w:val="32"/>
          <w:lang w:val="en-US" w:eastAsia="zh-CN"/>
        </w:rPr>
        <w:t>针对存在的问题，</w:t>
      </w:r>
      <w:r>
        <w:rPr>
          <w:rFonts w:hint="default" w:ascii="仿宋_GB2312" w:eastAsia="仿宋_GB2312"/>
          <w:sz w:val="32"/>
          <w:lang w:val="en-US" w:eastAsia="zh-CN"/>
        </w:rPr>
        <w:t>202</w:t>
      </w:r>
      <w:r>
        <w:rPr>
          <w:rFonts w:hint="eastAsia" w:ascii="仿宋_GB2312" w:eastAsia="仿宋_GB2312"/>
          <w:sz w:val="32"/>
          <w:lang w:val="en-US" w:eastAsia="zh-CN"/>
        </w:rPr>
        <w:t>3</w:t>
      </w:r>
      <w:r>
        <w:rPr>
          <w:rFonts w:hint="default" w:ascii="仿宋_GB2312" w:eastAsia="仿宋_GB2312"/>
          <w:sz w:val="32"/>
          <w:lang w:val="en-US" w:eastAsia="zh-CN"/>
        </w:rPr>
        <w:t>年我局将进一步做好政务公开工作，积极推进政务服务建设，不断拓宽工作领域，深化公开内容，丰富公开形式，促进政务公开工作自身建设和管理创新，不断提高政务公开的针对性和有效性。</w:t>
      </w:r>
      <w:r>
        <w:rPr>
          <w:rFonts w:hint="eastAsia" w:ascii="仿宋_GB2312" w:eastAsia="仿宋_GB2312"/>
          <w:b/>
          <w:bCs/>
          <w:sz w:val="32"/>
          <w:lang w:val="en-US" w:eastAsia="zh-CN"/>
        </w:rPr>
        <w:t>一是</w:t>
      </w:r>
      <w:r>
        <w:rPr>
          <w:rFonts w:hint="eastAsia" w:ascii="仿宋_GB2312" w:eastAsia="仿宋_GB2312"/>
          <w:sz w:val="32"/>
          <w:lang w:val="en-US" w:eastAsia="zh-CN"/>
        </w:rPr>
        <w:t>坚持</w:t>
      </w:r>
      <w:r>
        <w:rPr>
          <w:rFonts w:hint="default" w:ascii="仿宋_GB2312" w:eastAsia="仿宋_GB2312"/>
          <w:sz w:val="32"/>
          <w:lang w:val="en-US" w:eastAsia="zh-CN"/>
        </w:rPr>
        <w:t>政务公开</w:t>
      </w:r>
      <w:r>
        <w:rPr>
          <w:rFonts w:hint="eastAsia" w:ascii="仿宋_GB2312" w:eastAsia="仿宋_GB2312"/>
          <w:sz w:val="32"/>
          <w:lang w:val="en-US" w:eastAsia="zh-CN"/>
        </w:rPr>
        <w:t>内容</w:t>
      </w:r>
      <w:r>
        <w:rPr>
          <w:rFonts w:hint="default" w:ascii="仿宋_GB2312" w:eastAsia="仿宋_GB2312"/>
          <w:sz w:val="32"/>
          <w:lang w:val="en-US" w:eastAsia="zh-CN"/>
        </w:rPr>
        <w:t>规范化、标准化</w:t>
      </w:r>
      <w:r>
        <w:rPr>
          <w:rFonts w:hint="eastAsia" w:ascii="仿宋_GB2312" w:eastAsia="仿宋_GB2312"/>
          <w:sz w:val="32"/>
          <w:lang w:val="en-US" w:eastAsia="zh-CN"/>
        </w:rPr>
        <w:t>。完善制度建设，加强局办公室与局属各单位的沟通联系，同步发布政府公开信息，保证时效性;</w:t>
      </w:r>
      <w:r>
        <w:rPr>
          <w:rFonts w:hint="eastAsia" w:ascii="仿宋_GB2312" w:eastAsia="仿宋_GB2312"/>
          <w:b/>
          <w:bCs/>
          <w:sz w:val="32"/>
          <w:lang w:val="en-US" w:eastAsia="zh-CN"/>
        </w:rPr>
        <w:t>二是</w:t>
      </w:r>
      <w:r>
        <w:rPr>
          <w:rFonts w:hint="eastAsia" w:ascii="仿宋_GB2312" w:eastAsia="仿宋_GB2312"/>
          <w:b w:val="0"/>
          <w:bCs w:val="0"/>
          <w:sz w:val="32"/>
          <w:lang w:val="en-US" w:eastAsia="zh-CN"/>
        </w:rPr>
        <w:t>确保政务</w:t>
      </w:r>
      <w:r>
        <w:rPr>
          <w:rFonts w:hint="eastAsia" w:ascii="仿宋_GB2312" w:eastAsia="仿宋_GB2312"/>
          <w:sz w:val="32"/>
          <w:lang w:val="en-US" w:eastAsia="zh-CN"/>
        </w:rPr>
        <w:t>公开栏目完整性、准确性。</w:t>
      </w:r>
      <w:r>
        <w:rPr>
          <w:rFonts w:hint="default" w:ascii="仿宋_GB2312" w:eastAsia="仿宋_GB2312"/>
          <w:sz w:val="32"/>
          <w:lang w:val="en-US" w:eastAsia="zh-CN"/>
        </w:rPr>
        <w:t>细化梳理政府</w:t>
      </w:r>
      <w:r>
        <w:rPr>
          <w:rFonts w:hint="eastAsia" w:ascii="仿宋_GB2312" w:eastAsia="仿宋_GB2312"/>
          <w:sz w:val="32"/>
          <w:lang w:val="en-US" w:eastAsia="zh-CN"/>
        </w:rPr>
        <w:t>公开</w:t>
      </w:r>
      <w:r>
        <w:rPr>
          <w:rFonts w:hint="default" w:ascii="仿宋_GB2312" w:eastAsia="仿宋_GB2312"/>
          <w:sz w:val="32"/>
          <w:lang w:val="en-US" w:eastAsia="zh-CN"/>
        </w:rPr>
        <w:t>信息，在做好公文类信息公开的同时，不断拓展业务类、决策类信息公开内容，对原有的政府信息公开目录进行补充完</w:t>
      </w:r>
      <w:r>
        <w:rPr>
          <w:rFonts w:hint="eastAsia" w:ascii="仿宋_GB2312" w:eastAsia="仿宋_GB2312"/>
          <w:sz w:val="32"/>
          <w:lang w:val="en-US" w:eastAsia="zh-CN"/>
        </w:rPr>
        <w:t>；</w:t>
      </w:r>
      <w:r>
        <w:rPr>
          <w:rFonts w:hint="eastAsia" w:ascii="仿宋_GB2312" w:eastAsia="仿宋_GB2312"/>
          <w:b/>
          <w:bCs/>
          <w:sz w:val="32"/>
          <w:lang w:val="en-US" w:eastAsia="zh-CN"/>
        </w:rPr>
        <w:t>三是提升</w:t>
      </w:r>
      <w:r>
        <w:rPr>
          <w:rFonts w:hint="eastAsia" w:ascii="仿宋_GB2312" w:eastAsia="仿宋_GB2312"/>
          <w:sz w:val="32"/>
          <w:lang w:val="en-US" w:eastAsia="zh-CN"/>
        </w:rPr>
        <w:t>政府公开信息认知</w:t>
      </w:r>
      <w:bookmarkStart w:id="0" w:name="_GoBack"/>
      <w:bookmarkEnd w:id="0"/>
      <w:r>
        <w:rPr>
          <w:rFonts w:hint="eastAsia" w:ascii="仿宋_GB2312" w:eastAsia="仿宋_GB2312"/>
          <w:sz w:val="32"/>
          <w:lang w:val="en-US" w:eastAsia="zh-CN"/>
        </w:rPr>
        <w:t>度、需求度。加大宣传力度，使社会公众对这项工作有进一步的了解和更深的认识，</w:t>
      </w:r>
      <w:r>
        <w:rPr>
          <w:rFonts w:hint="default" w:ascii="仿宋_GB2312" w:eastAsia="仿宋_GB2312"/>
          <w:sz w:val="32"/>
          <w:lang w:val="en-US" w:eastAsia="zh-CN"/>
        </w:rPr>
        <w:t>坚持问政于民、问需于民、问计于民，</w:t>
      </w:r>
      <w:r>
        <w:rPr>
          <w:rFonts w:hint="eastAsia" w:ascii="仿宋_GB2312" w:eastAsia="仿宋_GB2312"/>
          <w:sz w:val="32"/>
          <w:lang w:val="en-US" w:eastAsia="zh-CN"/>
        </w:rPr>
        <w:t>引导</w:t>
      </w:r>
      <w:r>
        <w:rPr>
          <w:rFonts w:hint="default" w:ascii="仿宋_GB2312" w:eastAsia="仿宋_GB2312"/>
          <w:sz w:val="32"/>
          <w:lang w:val="en-US" w:eastAsia="zh-CN"/>
        </w:rPr>
        <w:t>群众积极支持和广泛参与，畅通政务公开各种渠道，切实提高政务公开的社会效益，确保我局政务公开工作落到实处。</w:t>
      </w:r>
    </w:p>
    <w:p>
      <w:pPr>
        <w:keepNext w:val="0"/>
        <w:keepLines w:val="0"/>
        <w:pageBreakBefore w:val="0"/>
        <w:widowControl/>
        <w:numPr>
          <w:ilvl w:val="0"/>
          <w:numId w:val="0"/>
        </w:numPr>
        <w:kinsoku/>
        <w:wordWrap/>
        <w:overflowPunct/>
        <w:topLinePunct w:val="0"/>
        <w:autoSpaceDE/>
        <w:autoSpaceDN/>
        <w:bidi w:val="0"/>
        <w:spacing w:line="540" w:lineRule="exact"/>
        <w:ind w:firstLine="640" w:firstLineChars="200"/>
        <w:jc w:val="both"/>
        <w:textAlignment w:val="auto"/>
        <w:rPr>
          <w:rFonts w:hint="eastAsia" w:ascii="黑体" w:eastAsia="黑体"/>
          <w:sz w:val="32"/>
          <w:lang w:val="en-US" w:eastAsia="zh-CN"/>
        </w:rPr>
      </w:pPr>
      <w:r>
        <w:rPr>
          <w:rFonts w:hint="eastAsia" w:ascii="黑体" w:eastAsia="黑体"/>
          <w:sz w:val="32"/>
          <w:lang w:val="en-US" w:eastAsia="zh-CN"/>
        </w:rPr>
        <w:t>六、其他需要报告的事项</w:t>
      </w:r>
    </w:p>
    <w:p>
      <w:pPr>
        <w:keepNext w:val="0"/>
        <w:keepLines w:val="0"/>
        <w:pageBreakBefore w:val="0"/>
        <w:widowControl/>
        <w:kinsoku/>
        <w:wordWrap/>
        <w:overflowPunct/>
        <w:topLinePunct w:val="0"/>
        <w:autoSpaceDE/>
        <w:autoSpaceDN/>
        <w:bidi w:val="0"/>
        <w:spacing w:line="540" w:lineRule="exact"/>
        <w:ind w:firstLine="645"/>
        <w:jc w:val="both"/>
        <w:textAlignment w:val="auto"/>
        <w:rPr>
          <w:rFonts w:hint="default"/>
          <w:lang w:val="en-US" w:eastAsia="zh-CN"/>
        </w:rPr>
      </w:pPr>
      <w:r>
        <w:rPr>
          <w:rFonts w:hint="eastAsia" w:ascii="仿宋_GB2312" w:eastAsia="仿宋_GB2312"/>
          <w:color w:val="000000"/>
          <w:sz w:val="32"/>
          <w:szCs w:val="32"/>
        </w:rPr>
        <w:t>本年度无其他需要报告的事项</w:t>
      </w:r>
      <w:r>
        <w:rPr>
          <w:rFonts w:hint="eastAsia" w:ascii="仿宋_GB2312" w:eastAsia="仿宋_GB2312"/>
          <w:b/>
          <w:color w:val="000000"/>
          <w:sz w:val="32"/>
          <w:szCs w:val="32"/>
        </w:rPr>
        <w:t>。</w:t>
      </w: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eastAsia" w:ascii="仿宋_GB2312" w:eastAsia="仿宋_GB2312"/>
          <w:sz w:val="32"/>
          <w:lang w:eastAsia="zh-CN"/>
        </w:rPr>
      </w:pPr>
    </w:p>
    <w:p>
      <w:pPr>
        <w:keepNext w:val="0"/>
        <w:keepLines w:val="0"/>
        <w:pageBreakBefore w:val="0"/>
        <w:widowControl/>
        <w:kinsoku/>
        <w:wordWrap/>
        <w:overflowPunct/>
        <w:topLinePunct w:val="0"/>
        <w:autoSpaceDE/>
        <w:autoSpaceDN/>
        <w:bidi w:val="0"/>
        <w:adjustRightInd/>
        <w:snapToGrid/>
        <w:spacing w:line="580" w:lineRule="exact"/>
        <w:ind w:firstLine="640"/>
        <w:jc w:val="both"/>
        <w:textAlignment w:val="auto"/>
        <w:outlineLvl w:val="9"/>
        <w:rPr>
          <w:rFonts w:hint="eastAsia" w:ascii="仿宋_GB2312" w:eastAsia="仿宋_GB2312"/>
          <w:sz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jc w:val="both"/>
        <w:textAlignment w:val="auto"/>
        <w:outlineLvl w:val="9"/>
        <w:rPr>
          <w:rFonts w:hint="eastAsia" w:ascii="仿宋_GB2312" w:eastAsia="仿宋_GB2312"/>
          <w:sz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jc w:val="right"/>
        <w:textAlignment w:val="auto"/>
        <w:outlineLvl w:val="9"/>
        <w:rPr>
          <w:rFonts w:hint="eastAsia" w:ascii="仿宋_GB2312" w:eastAsia="仿宋_GB2312"/>
          <w:sz w:val="32"/>
          <w:lang w:val="en-US" w:eastAsia="zh-CN"/>
        </w:rPr>
      </w:pPr>
      <w:r>
        <w:rPr>
          <w:rFonts w:hint="eastAsia" w:ascii="仿宋_GB2312" w:eastAsia="仿宋_GB2312"/>
          <w:sz w:val="32"/>
          <w:lang w:val="en-US" w:eastAsia="zh-CN"/>
        </w:rPr>
        <w:t>余姚市市场监督管理局</w:t>
      </w:r>
    </w:p>
    <w:p>
      <w:pPr>
        <w:keepNext w:val="0"/>
        <w:keepLines w:val="0"/>
        <w:pageBreakBefore w:val="0"/>
        <w:widowControl/>
        <w:kinsoku/>
        <w:wordWrap/>
        <w:overflowPunct/>
        <w:topLinePunct w:val="0"/>
        <w:autoSpaceDE/>
        <w:autoSpaceDN/>
        <w:bidi w:val="0"/>
        <w:adjustRightInd/>
        <w:snapToGrid/>
        <w:spacing w:line="580" w:lineRule="exact"/>
        <w:ind w:firstLine="640"/>
        <w:jc w:val="right"/>
        <w:textAlignment w:val="auto"/>
        <w:outlineLvl w:val="9"/>
        <w:rPr>
          <w:rFonts w:hint="default" w:ascii="仿宋_GB2312" w:eastAsia="仿宋_GB2312"/>
          <w:sz w:val="32"/>
          <w:lang w:val="en-US" w:eastAsia="zh-CN"/>
        </w:rPr>
      </w:pPr>
      <w:r>
        <w:rPr>
          <w:rFonts w:hint="eastAsia" w:ascii="仿宋_GB2312" w:eastAsia="仿宋_GB2312"/>
          <w:sz w:val="32"/>
          <w:lang w:val="en-US" w:eastAsia="zh-CN"/>
        </w:rPr>
        <w:t>2023年1月10日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90A49"/>
    <w:multiLevelType w:val="singleLevel"/>
    <w:tmpl w:val="83790A4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701CE"/>
    <w:rsid w:val="03F57C2F"/>
    <w:rsid w:val="11590188"/>
    <w:rsid w:val="1C8F3AF7"/>
    <w:rsid w:val="2AFE4C63"/>
    <w:rsid w:val="47B701CE"/>
    <w:rsid w:val="55ED02D4"/>
    <w:rsid w:val="66B02945"/>
    <w:rsid w:val="6B645CCE"/>
    <w:rsid w:val="6C00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99"/>
    <w:pPr>
      <w:keepNext/>
      <w:keepLines/>
      <w:spacing w:before="340" w:after="330" w:line="578" w:lineRule="auto"/>
      <w:outlineLvl w:val="0"/>
    </w:pPr>
    <w:rPr>
      <w:rFonts w:hint="eastAsia"/>
      <w:b/>
      <w:kern w:val="44"/>
      <w:sz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2022-12-05T02:07:00Z</dcterms:created>
  <dc:creator>朱潘飞</dc:creator>
  <cp:lastModifiedBy>朱潘飞</cp:lastModifiedBy>
  <dcterms:modified xsi:type="dcterms:W3CDTF">2023-01-10T01:19:24Z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