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-1803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余姚市商务局20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年度政府信息公开年度报告</w:t>
      </w:r>
    </w:p>
    <w:p>
      <w:pPr>
        <w:ind w:firstLine="640" w:firstLineChars="200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020年，我</w:t>
      </w:r>
      <w:r>
        <w:rPr>
          <w:rFonts w:hint="eastAsia" w:ascii="仿宋_GB2312" w:eastAsia="仿宋_GB2312"/>
          <w:snapToGrid w:val="0"/>
          <w:spacing w:val="-4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认真学习贯彻《中华人民共和国政府信息公开条例》，积极主动做好政府信息公开各项工作，着力提升政府信息公开质量。以公开为常态、不公开为例外，全面公开群众关心关注的政府信息，让权力在阳光下运行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本</w:t>
      </w:r>
      <w:r>
        <w:rPr>
          <w:rFonts w:hint="eastAsia" w:ascii="仿宋_GB2312" w:eastAsia="仿宋_GB2312"/>
          <w:snapToGrid w:val="0"/>
          <w:spacing w:val="-4"/>
          <w:sz w:val="32"/>
          <w:szCs w:val="32"/>
          <w:lang w:eastAsia="zh-CN"/>
        </w:rPr>
        <w:t>年度报告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由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总体情况，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主动公开政府信息情况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，公开平台建设和信息发布情况，收到和处理政府信息公开申请情况，政府信息公开行政复议、行政诉讼情况，存在的主要问题及改进情况，其他需要报告的事项等其部分组成。</w:t>
      </w:r>
      <w:r>
        <w:rPr>
          <w:rFonts w:hint="eastAsia" w:ascii="仿宋_GB2312" w:eastAsia="仿宋_GB2312"/>
          <w:sz w:val="32"/>
          <w:szCs w:val="32"/>
        </w:rPr>
        <w:t>本年度报告中所列数据的统计期限自20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年1月1日起至20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年12月31日止。如对本年度报告有任何疑问，请与余姚市商务局办公室联系（地址：余姚市南雷南路399号，邮编：315400，电话：0574-62634352）。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完善平台畅通公开渠道。认真做好“余姚市政府”门户网站信息公开平台相关板块的信息发布维护工作，落实专人负责，定期发布信息。加强网站的常态化管理，做到信息内容及时更新，保障栏目更新频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（二）扎实做好依申请公开工作。全年未收到政府信息公开申请书。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加强政府信息管理。建立健全信息收集、审查、处理机制。根据政府信息公开审查机制，严格执行“先审查，后公开”“一事一审”原则及保密审查要求，经审查依法应当公开的事项，及时准确向社会公开，确保政府信息规范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645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caps w:val="0"/>
          <w:color w:val="000000" w:themeColor="text1"/>
          <w:spacing w:val="0"/>
          <w:sz w:val="31"/>
          <w:szCs w:val="31"/>
          <w:shd w:val="clear" w:fill="FFFFFF"/>
        </w:rPr>
        <w:t>（四）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</w:rPr>
        <w:t>明确分工，加强监督。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1"/>
          <w:szCs w:val="31"/>
          <w:shd w:val="clear" w:fill="FFFFFF"/>
        </w:rPr>
        <w:t>根据省市县关于政府信息公开重点工作的部署和相关文件精神，认真落实政府信息公开年度重点工作安排，对相关工作进行具体责任分工，抓好工作部署，做到分工科学、责任明确。对于信息公开延迟或落实不到位的，将根据实际情况进行通报批评，督促改正，使政务公开工作更加扎实、有序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2019年度，本单位</w:t>
      </w:r>
      <w:r>
        <w:rPr>
          <w:rFonts w:hint="eastAsia" w:ascii="仿宋_GB2312" w:hAnsi="仿宋" w:eastAsia="仿宋_GB2312"/>
          <w:sz w:val="32"/>
          <w:szCs w:val="32"/>
        </w:rPr>
        <w:t>主动公开信息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/>
          <w:sz w:val="32"/>
          <w:szCs w:val="32"/>
        </w:rPr>
        <w:t>条，其中本单位文件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件，提案答复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件，统计数据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条，人事信息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2条</w:t>
      </w:r>
      <w:r>
        <w:rPr>
          <w:rFonts w:hint="eastAsia" w:ascii="仿宋_GB2312" w:hAnsi="仿宋" w:eastAsia="仿宋_GB2312"/>
          <w:sz w:val="32"/>
          <w:szCs w:val="32"/>
        </w:rPr>
        <w:t>、财政信息等内容均按照要求及时公开更新。“余姚商务”微博自2013年开设以来拥有粉丝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1246</w:t>
      </w:r>
      <w:r>
        <w:rPr>
          <w:rFonts w:hint="eastAsia" w:ascii="仿宋_GB2312" w:hAnsi="仿宋" w:eastAsia="仿宋_GB2312"/>
          <w:sz w:val="32"/>
          <w:szCs w:val="32"/>
        </w:rPr>
        <w:t>余人，共发布、转发微博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2033</w:t>
      </w:r>
      <w:r>
        <w:rPr>
          <w:rFonts w:hint="eastAsia" w:ascii="仿宋_GB2312" w:hAnsi="仿宋" w:eastAsia="仿宋_GB2312"/>
          <w:sz w:val="32"/>
          <w:szCs w:val="32"/>
        </w:rPr>
        <w:t>余条。</w:t>
      </w:r>
      <w:r>
        <w:rPr>
          <w:rFonts w:hint="eastAsia" w:ascii="仿宋_GB2312" w:eastAsia="仿宋_GB2312"/>
          <w:sz w:val="32"/>
          <w:szCs w:val="32"/>
        </w:rPr>
        <w:t>同时，公开的信息尽量做到内容完整、格式规范，并将电子公文、表格等资料转换成方便市民下载使用的格式，更好地为市民提供服务。</w:t>
      </w:r>
    </w:p>
    <w:tbl>
      <w:tblPr>
        <w:tblStyle w:val="5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428.8689万元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公开平台建设和信息发布情况</w:t>
      </w:r>
    </w:p>
    <w:tbl>
      <w:tblPr>
        <w:tblStyle w:val="5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（一）主动公开政府信息数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default" w:eastAsia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default" w:eastAsia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（三）回应公众关注热点或重大舆情数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default" w:eastAsia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eastAsia="仿宋_GB2312"/>
                <w:snapToGrid w:val="0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收到和处理政府信息公开申请情况</w:t>
      </w:r>
    </w:p>
    <w:tbl>
      <w:tblPr>
        <w:tblStyle w:val="5"/>
        <w:tblpPr w:leftFromText="180" w:rightFromText="180" w:vertAnchor="text" w:horzAnchor="page" w:tblpXSpec="center" w:tblpY="626"/>
        <w:tblOverlap w:val="never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94"/>
        <w:gridCol w:w="1948"/>
        <w:gridCol w:w="805"/>
        <w:gridCol w:w="680"/>
        <w:gridCol w:w="680"/>
        <w:gridCol w:w="951"/>
        <w:gridCol w:w="781"/>
        <w:gridCol w:w="463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5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5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405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526"/>
        <w:gridCol w:w="556"/>
        <w:gridCol w:w="556"/>
        <w:gridCol w:w="505"/>
        <w:gridCol w:w="528"/>
        <w:gridCol w:w="515"/>
        <w:gridCol w:w="595"/>
        <w:gridCol w:w="499"/>
        <w:gridCol w:w="561"/>
        <w:gridCol w:w="608"/>
        <w:gridCol w:w="595"/>
        <w:gridCol w:w="499"/>
        <w:gridCol w:w="568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4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3335" w:type="pct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840" w:firstLineChars="16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309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294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1583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1752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4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1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02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57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416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bookmarkStart w:id="0" w:name="_GoBack" w:colFirst="0" w:colLast="14"/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9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六、政府信息公开工作存在的主要问题及改进措施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当前，我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sz w:val="32"/>
          <w:szCs w:val="32"/>
        </w:rPr>
        <w:t>政务公开工作存在的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主要</w:t>
      </w:r>
      <w:r>
        <w:rPr>
          <w:rFonts w:hint="eastAsia" w:ascii="仿宋_GB2312" w:hAnsi="宋体" w:eastAsia="仿宋_GB2312"/>
          <w:sz w:val="32"/>
          <w:szCs w:val="32"/>
        </w:rPr>
        <w:t>问题：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是</w:t>
      </w:r>
      <w:r>
        <w:rPr>
          <w:rFonts w:hint="eastAsia" w:ascii="仿宋_GB2312" w:hAnsi="宋体" w:eastAsia="仿宋_GB2312"/>
          <w:sz w:val="32"/>
          <w:szCs w:val="32"/>
        </w:rPr>
        <w:t>对进一步提升政务公开工作水平的研究还不够，特别是对《中华人民共和国政府信息公开条例》的学习贯彻需加深。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是</w:t>
      </w:r>
      <w:r>
        <w:rPr>
          <w:rFonts w:hint="eastAsia" w:ascii="仿宋_GB2312" w:hAnsi="宋体" w:eastAsia="仿宋_GB2312"/>
          <w:sz w:val="32"/>
          <w:szCs w:val="32"/>
        </w:rPr>
        <w:t>做好政务公开工作的主动性需加强，主动公开信息的时效性需进一步提升。对此，我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sz w:val="32"/>
          <w:szCs w:val="32"/>
        </w:rPr>
        <w:t>将从三方面加以改进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持续深化学习，提升业务能力。认真学习《中华人民共和国政府信息公开条例》等政务信息公开业务知识。严格按照新条例、新办法要求，强化主动公开意识，及时准确公开政府信息，不断提升政府信息公开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健全完善制度，规范办理流程。以推进政务公开标准化、规范化为目标，围绕主动公开、依申请公开两大重点工作，进一步细化完善各项制度，规范办理流程，落实各环节责任，确保工作高质高效。严格遵守办理程序和办理时限，确保政府信息公开规范运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加强日常管理，公开及时高效。认真做好“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余姚</w:t>
      </w:r>
      <w:r>
        <w:rPr>
          <w:rFonts w:hint="eastAsia" w:ascii="仿宋_GB2312" w:hAnsi="宋体" w:eastAsia="仿宋_GB2312"/>
          <w:sz w:val="32"/>
          <w:szCs w:val="32"/>
        </w:rPr>
        <w:t>市政府”门户网站信息公开平台相关板块的常态化管理，及时发布政务信息。健全政务公开工作机制，将信息公开工作更好地融入日常业务工作，确保政务信息及时、准确、规范的对外公开。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七、其它需要报告的事项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本年度无其它需要报告的事项。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0" w:firstLineChars="18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余姚市商务局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1506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60"/>
          <w:jc w:val="center"/>
        </w:pPr>
        <w:r>
          <w:rPr>
            <w:rFonts w:hint="eastAsia"/>
          </w:rPr>
          <w:t xml:space="preserve">                                                                              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15068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CE3E"/>
    <w:multiLevelType w:val="singleLevel"/>
    <w:tmpl w:val="0B88CE3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F124E28"/>
    <w:multiLevelType w:val="singleLevel"/>
    <w:tmpl w:val="4F124E2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4B49"/>
    <w:rsid w:val="00030416"/>
    <w:rsid w:val="00040835"/>
    <w:rsid w:val="000527C2"/>
    <w:rsid w:val="00075A83"/>
    <w:rsid w:val="00086839"/>
    <w:rsid w:val="0009713A"/>
    <w:rsid w:val="000B52AC"/>
    <w:rsid w:val="000E4879"/>
    <w:rsid w:val="00107071"/>
    <w:rsid w:val="00133045"/>
    <w:rsid w:val="00134BB9"/>
    <w:rsid w:val="00157404"/>
    <w:rsid w:val="00166CE3"/>
    <w:rsid w:val="00167D9C"/>
    <w:rsid w:val="001902C3"/>
    <w:rsid w:val="001B72C7"/>
    <w:rsid w:val="001D0FD9"/>
    <w:rsid w:val="001D38B0"/>
    <w:rsid w:val="001F6D59"/>
    <w:rsid w:val="002053FE"/>
    <w:rsid w:val="00224E99"/>
    <w:rsid w:val="002422AB"/>
    <w:rsid w:val="00273A04"/>
    <w:rsid w:val="00274D92"/>
    <w:rsid w:val="00283BF5"/>
    <w:rsid w:val="00285AC1"/>
    <w:rsid w:val="00297AE9"/>
    <w:rsid w:val="002A445F"/>
    <w:rsid w:val="002B153B"/>
    <w:rsid w:val="002D4395"/>
    <w:rsid w:val="002E34BF"/>
    <w:rsid w:val="002F3945"/>
    <w:rsid w:val="00376AA7"/>
    <w:rsid w:val="003B22C7"/>
    <w:rsid w:val="003C54B5"/>
    <w:rsid w:val="00401DA1"/>
    <w:rsid w:val="0041693B"/>
    <w:rsid w:val="00425251"/>
    <w:rsid w:val="00430BDB"/>
    <w:rsid w:val="004350F0"/>
    <w:rsid w:val="00443BEA"/>
    <w:rsid w:val="00446802"/>
    <w:rsid w:val="00457345"/>
    <w:rsid w:val="00466958"/>
    <w:rsid w:val="00482B15"/>
    <w:rsid w:val="004C4CFF"/>
    <w:rsid w:val="004E3282"/>
    <w:rsid w:val="00504B49"/>
    <w:rsid w:val="00532004"/>
    <w:rsid w:val="005440D3"/>
    <w:rsid w:val="00546099"/>
    <w:rsid w:val="005E72D1"/>
    <w:rsid w:val="005F0A87"/>
    <w:rsid w:val="00605834"/>
    <w:rsid w:val="006210AE"/>
    <w:rsid w:val="00632365"/>
    <w:rsid w:val="00663E5E"/>
    <w:rsid w:val="00692345"/>
    <w:rsid w:val="006A1065"/>
    <w:rsid w:val="006B13B6"/>
    <w:rsid w:val="006E4C06"/>
    <w:rsid w:val="006E5567"/>
    <w:rsid w:val="006F1A0D"/>
    <w:rsid w:val="00714265"/>
    <w:rsid w:val="00727DF7"/>
    <w:rsid w:val="00737674"/>
    <w:rsid w:val="00785100"/>
    <w:rsid w:val="00787263"/>
    <w:rsid w:val="007A5A6E"/>
    <w:rsid w:val="008440EC"/>
    <w:rsid w:val="00885A57"/>
    <w:rsid w:val="008B44C8"/>
    <w:rsid w:val="008B6D51"/>
    <w:rsid w:val="00913F7E"/>
    <w:rsid w:val="00947FF7"/>
    <w:rsid w:val="00963E94"/>
    <w:rsid w:val="009D3992"/>
    <w:rsid w:val="00A00042"/>
    <w:rsid w:val="00A019FB"/>
    <w:rsid w:val="00A23BBC"/>
    <w:rsid w:val="00A52712"/>
    <w:rsid w:val="00A64A1E"/>
    <w:rsid w:val="00A71B42"/>
    <w:rsid w:val="00A72B8B"/>
    <w:rsid w:val="00A8723B"/>
    <w:rsid w:val="00AE57E1"/>
    <w:rsid w:val="00B0335C"/>
    <w:rsid w:val="00B113C1"/>
    <w:rsid w:val="00B525F9"/>
    <w:rsid w:val="00B91794"/>
    <w:rsid w:val="00B91FE5"/>
    <w:rsid w:val="00BC7971"/>
    <w:rsid w:val="00C14692"/>
    <w:rsid w:val="00C156D4"/>
    <w:rsid w:val="00C20498"/>
    <w:rsid w:val="00C54D6C"/>
    <w:rsid w:val="00C70C0D"/>
    <w:rsid w:val="00C75A90"/>
    <w:rsid w:val="00CB18B2"/>
    <w:rsid w:val="00CB431C"/>
    <w:rsid w:val="00CE37D1"/>
    <w:rsid w:val="00D50C98"/>
    <w:rsid w:val="00D51C6A"/>
    <w:rsid w:val="00DB29B7"/>
    <w:rsid w:val="00E54F02"/>
    <w:rsid w:val="00E55D38"/>
    <w:rsid w:val="00E575BD"/>
    <w:rsid w:val="00EB63EE"/>
    <w:rsid w:val="00F06309"/>
    <w:rsid w:val="00F66CD5"/>
    <w:rsid w:val="00FA15E5"/>
    <w:rsid w:val="00FC0F02"/>
    <w:rsid w:val="00FF4EDC"/>
    <w:rsid w:val="1B952E43"/>
    <w:rsid w:val="36E93C57"/>
    <w:rsid w:val="4A177F38"/>
    <w:rsid w:val="64525D68"/>
    <w:rsid w:val="6DE83DB6"/>
    <w:rsid w:val="7B6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Char Char Char Char Char Char Char Char Char Char Char Char"/>
    <w:basedOn w:val="1"/>
    <w:qFormat/>
    <w:uiPriority w:val="0"/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468</Words>
  <Characters>2672</Characters>
  <Lines>22</Lines>
  <Paragraphs>6</Paragraphs>
  <TotalTime>0</TotalTime>
  <ScaleCrop>false</ScaleCrop>
  <LinksUpToDate>false</LinksUpToDate>
  <CharactersWithSpaces>3134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2018-03-02T02:50:00Z</dcterms:created>
  <dc:creator>市商务局</dc:creator>
  <cp:lastModifiedBy>匿名用户</cp:lastModifiedBy>
  <cp:lastPrinted>2020-02-28T05:04:00Z</cp:lastPrinted>
  <dcterms:modified xsi:type="dcterms:W3CDTF">2021-02-19T00:38:31Z</dcterms:modified>
  <dc:title>余姚市商务局2020年度政府信息公开年度报告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