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余姚市应急管理局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2021年度政府信息公开工作报告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jc w:val="both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202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年以来，我局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以市政府的政务信息公开平台为主要发布平台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，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持续推进政府信息公开工作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，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深化重点领域政府信息公开，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不断强化信息公开监督保障，全面做好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</w:rPr>
        <w:t>行政审批政务公开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lang w:eastAsia="zh-CN"/>
        </w:rPr>
        <w:t>，促进政府信息公开工作规范化、常态化，为我市安全生产工作的开展营造良好的氛围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我局未发生泄密事件；未发生政府信息公开规定的收费情况；未发生针对政府信息公开事务的行政复议和行政诉讼。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今年，我局在市政府政务信息公开平台上主动公开政府信息148条（其中：公告公示62条、部门文件2条、规划总结1条、工作进展73条、应急管理1条、统计数据3条、生产安全事故1条、部门预决算2条、人事任免3条）；通过政务微信发布我市应急系统的政府信息229条。</w:t>
      </w:r>
    </w:p>
    <w:p>
      <w:pPr>
        <w:numPr>
          <w:ilvl w:val="0"/>
          <w:numId w:val="1"/>
        </w:numPr>
        <w:jc w:val="both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主动公开政府信息情况</w:t>
      </w:r>
    </w:p>
    <w:tbl>
      <w:tblPr>
        <w:tblStyle w:val="5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制发件数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本年废止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jc w:val="both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三、收到和处理政府信息公开申请情况</w:t>
      </w:r>
    </w:p>
    <w:tbl>
      <w:tblPr>
        <w:tblStyle w:val="5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tcBorders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3.其他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jc w:val="both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p>
      <w:pPr>
        <w:pStyle w:val="2"/>
        <w:widowControl/>
        <w:numPr>
          <w:ilvl w:val="0"/>
          <w:numId w:val="2"/>
        </w:numPr>
        <w:spacing w:beforeAutospacing="0" w:afterAutospacing="0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政府信息公开行政复议、行政诉讼情况</w:t>
      </w:r>
    </w:p>
    <w:tbl>
      <w:tblPr>
        <w:tblStyle w:val="5"/>
        <w:tblW w:w="903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30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行政复议</w:t>
            </w:r>
          </w:p>
        </w:tc>
        <w:tc>
          <w:tcPr>
            <w:tcW w:w="602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tblCellSpacing w:w="0" w:type="dxa"/>
          <w:jc w:val="center"/>
        </w:trPr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结果纠正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其他结果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尚未审结</w:t>
            </w:r>
          </w:p>
        </w:tc>
        <w:tc>
          <w:tcPr>
            <w:tcW w:w="6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301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ind w:firstLine="42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tblCellSpacing w:w="0" w:type="dxa"/>
          <w:jc w:val="center"/>
        </w:trPr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尚未审结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Autospacing="0" w:afterAutospacing="0"/>
        <w:ind w:right="0" w:rightChars="0"/>
        <w:rPr>
          <w:rStyle w:val="4"/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widowControl/>
        <w:spacing w:beforeAutospacing="0" w:afterAutospacing="0"/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五、政务信息公开工作存在的主要问题及改进情况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2021年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我局政务公开工作取得了一定成效，但是也存在一些问题，主要表现在：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一是公开意识和能力还有待提高，部分人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员对于政务公开的重要意义认识不足；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二是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对信息公开的监督管理还普遍缺乏有效的手段；</w:t>
      </w:r>
      <w:r>
        <w:rPr>
          <w:rFonts w:hint="eastAsia" w:ascii="仿宋_GB2312" w:hAnsi="Calibri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三是公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开内容还不够规范、更新重点不够突出，公开的载体和形式相对单一。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 w:bidi="ar-SA"/>
        </w:rPr>
        <w:t>为此，2022年我们将采取切实有效措施加以改进：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进一步加强政务信息公开队伍建设，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强化政务公开意识，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主动学习其他单位的先进经验做法，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通过组织系统培训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不断提高政务信息公开工作人员的业务水平和综合素质。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进一步加强常态化督导，把政务公开作为一项重要内容，定期开展督查指导，发现问题及时整改，确保全局政务公开工作的有序推进。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本着规范、实用、简便、易行的原则，进一步丰富政府信息公开平台，结合微信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、余姚日报等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自媒体，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切实保障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 w:bidi="ar-SA"/>
        </w:rPr>
        <w:t>人民群众对应急管理工作的知情权、参与权和监督权。</w:t>
      </w:r>
    </w:p>
    <w:p>
      <w:pPr>
        <w:pStyle w:val="2"/>
        <w:widowControl/>
        <w:numPr>
          <w:ilvl w:val="0"/>
          <w:numId w:val="3"/>
        </w:numPr>
        <w:spacing w:beforeAutospacing="0" w:afterAutospacing="0"/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其他需要报告的事项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right="0" w:rightChars="0"/>
        <w:jc w:val="left"/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right="0" w:rightChars="0"/>
        <w:jc w:val="center"/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余姚市应急管理局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right="0" w:rightChars="0"/>
        <w:jc w:val="center"/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2021年12月31日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4EDC"/>
    <w:multiLevelType w:val="singleLevel"/>
    <w:tmpl w:val="9F994ED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14E4A6"/>
    <w:multiLevelType w:val="singleLevel"/>
    <w:tmpl w:val="EA14E4A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96A6ED"/>
    <w:multiLevelType w:val="singleLevel"/>
    <w:tmpl w:val="6496A6E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A0F5D"/>
    <w:rsid w:val="0BD13D11"/>
    <w:rsid w:val="0F157D22"/>
    <w:rsid w:val="18011CB4"/>
    <w:rsid w:val="236107EC"/>
    <w:rsid w:val="261A0F5D"/>
    <w:rsid w:val="319469DB"/>
    <w:rsid w:val="3EF1678F"/>
    <w:rsid w:val="420B60AC"/>
    <w:rsid w:val="46F9414C"/>
    <w:rsid w:val="51F06000"/>
    <w:rsid w:val="5F40110D"/>
    <w:rsid w:val="65447793"/>
    <w:rsid w:val="671A7393"/>
    <w:rsid w:val="73A962DE"/>
    <w:rsid w:val="7DC269F0"/>
    <w:rsid w:val="7F7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2021-12-30T08:09:00Z</dcterms:created>
  <dc:creator>＆ 相依-</dc:creator>
  <cp:lastModifiedBy>＆ 相依-</cp:lastModifiedBy>
  <dcterms:modified xsi:type="dcterms:W3CDTF">2022-01-14T05:32:40Z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