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/>
          <w:color w:val="333333"/>
          <w:kern w:val="0"/>
          <w:sz w:val="24"/>
        </w:rPr>
      </w:pPr>
    </w:p>
    <w:p>
      <w:pPr>
        <w:widowControl/>
        <w:rPr>
          <w:color w:val="333333"/>
          <w:kern w:val="0"/>
          <w:sz w:val="24"/>
        </w:rPr>
      </w:pPr>
    </w:p>
    <w:p>
      <w:pPr>
        <w:widowControl/>
        <w:jc w:val="center"/>
        <w:rPr>
          <w:rFonts w:eastAsia="方正小标宋_GBK"/>
          <w:b/>
          <w:bCs/>
          <w:color w:val="333333"/>
          <w:kern w:val="0"/>
          <w:sz w:val="44"/>
          <w:szCs w:val="44"/>
        </w:rPr>
      </w:pPr>
      <w:r>
        <w:rPr>
          <w:rFonts w:eastAsia="方正小标宋_GBK"/>
          <w:b/>
          <w:bCs/>
          <w:color w:val="333333"/>
          <w:kern w:val="0"/>
          <w:sz w:val="44"/>
          <w:szCs w:val="44"/>
        </w:rPr>
        <w:t>余姚市自然资源和规划局</w:t>
      </w:r>
    </w:p>
    <w:p>
      <w:pPr>
        <w:widowControl/>
        <w:jc w:val="center"/>
        <w:rPr>
          <w:rFonts w:eastAsia="方正小标宋_GBK"/>
          <w:b/>
          <w:bCs/>
          <w:color w:val="333333"/>
          <w:kern w:val="0"/>
          <w:sz w:val="44"/>
          <w:szCs w:val="44"/>
        </w:rPr>
      </w:pPr>
      <w:r>
        <w:rPr>
          <w:rFonts w:eastAsia="方正小标宋_GBK"/>
          <w:b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jc w:val="center"/>
        <w:rPr>
          <w:color w:val="333333"/>
          <w:kern w:val="0"/>
          <w:sz w:val="28"/>
          <w:szCs w:val="28"/>
        </w:rPr>
      </w:pPr>
      <w:r>
        <w:rPr>
          <w:b/>
          <w:bCs/>
          <w:color w:val="333333"/>
          <w:kern w:val="0"/>
          <w:sz w:val="28"/>
          <w:szCs w:val="28"/>
        </w:rPr>
        <w:t>（20</w:t>
      </w:r>
      <w:r>
        <w:rPr>
          <w:rFonts w:hint="eastAsia"/>
          <w:b/>
          <w:bCs/>
          <w:color w:val="333333"/>
          <w:kern w:val="0"/>
          <w:sz w:val="28"/>
          <w:szCs w:val="28"/>
          <w:lang w:val="en-US" w:eastAsia="zh-CN"/>
        </w:rPr>
        <w:t>20</w:t>
      </w:r>
      <w:r>
        <w:rPr>
          <w:b/>
          <w:bCs/>
          <w:color w:val="333333"/>
          <w:kern w:val="0"/>
          <w:sz w:val="28"/>
          <w:szCs w:val="28"/>
        </w:rPr>
        <w:t>年度）</w:t>
      </w:r>
    </w:p>
    <w:p>
      <w:pPr>
        <w:widowControl/>
        <w:ind w:firstLine="480"/>
        <w:rPr>
          <w:color w:val="333333"/>
          <w:kern w:val="0"/>
          <w:sz w:val="24"/>
        </w:rPr>
      </w:pPr>
    </w:p>
    <w:p>
      <w:pPr>
        <w:widowControl/>
        <w:ind w:firstLine="48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pacing w:after="240"/>
        <w:ind w:firstLine="48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按照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政府信息公开的</w:t>
      </w:r>
      <w:r>
        <w:rPr>
          <w:rFonts w:eastAsia="仿宋_GB2312"/>
          <w:color w:val="333333"/>
          <w:kern w:val="0"/>
          <w:sz w:val="32"/>
          <w:szCs w:val="32"/>
        </w:rPr>
        <w:t>要求，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本机关今年</w:t>
      </w:r>
      <w:r>
        <w:rPr>
          <w:rFonts w:eastAsia="仿宋_GB2312"/>
          <w:color w:val="333333"/>
          <w:kern w:val="0"/>
          <w:sz w:val="32"/>
          <w:szCs w:val="32"/>
        </w:rPr>
        <w:t>积极推进政府政务信息公开,认真完成本年度的信息公开工作。本报告主要包括主动公开、依申请公开、政府信息管理、平台建设、监督保障等情况，所列数据的统计期限自20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年1月1日起至20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年12月31日止，现汇报如下：</w:t>
      </w:r>
    </w:p>
    <w:p>
      <w:pPr>
        <w:widowControl/>
        <w:spacing w:after="240"/>
        <w:ind w:firstLine="643" w:firstLineChars="200"/>
        <w:rPr>
          <w:rFonts w:eastAsia="楷体_GB2312"/>
          <w:b/>
          <w:bCs/>
          <w:color w:val="333333"/>
          <w:kern w:val="0"/>
          <w:sz w:val="32"/>
          <w:szCs w:val="32"/>
        </w:rPr>
      </w:pPr>
      <w:r>
        <w:rPr>
          <w:rFonts w:eastAsia="楷体_GB2312"/>
          <w:b/>
          <w:bCs/>
          <w:color w:val="333333"/>
          <w:kern w:val="0"/>
          <w:sz w:val="32"/>
          <w:szCs w:val="32"/>
        </w:rPr>
        <w:t>（一）政府信息主动公开方面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一是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以制度设计规范化，促进公开常态化。一方面成立</w:t>
      </w:r>
      <w:r>
        <w:rPr>
          <w:rFonts w:eastAsia="仿宋_GB2312"/>
          <w:color w:val="333333"/>
          <w:kern w:val="0"/>
          <w:sz w:val="32"/>
          <w:szCs w:val="32"/>
        </w:rPr>
        <w:t>政府信息公开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领导</w:t>
      </w:r>
      <w:r>
        <w:rPr>
          <w:rFonts w:eastAsia="仿宋_GB2312"/>
          <w:color w:val="333333"/>
          <w:kern w:val="0"/>
          <w:sz w:val="32"/>
          <w:szCs w:val="32"/>
        </w:rPr>
        <w:t>小组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eastAsia="仿宋_GB2312"/>
          <w:color w:val="333333"/>
          <w:kern w:val="0"/>
          <w:sz w:val="32"/>
          <w:szCs w:val="32"/>
        </w:rPr>
        <w:t>各成员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领导职责</w:t>
      </w:r>
      <w:r>
        <w:rPr>
          <w:rFonts w:eastAsia="仿宋_GB2312"/>
          <w:color w:val="333333"/>
          <w:kern w:val="0"/>
          <w:sz w:val="32"/>
          <w:szCs w:val="32"/>
        </w:rPr>
        <w:t>为依托，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领导带头推进政府信息公开工作；另一方面，建立了《余姚市自然资源和规划局政府信息主动公开办法》，该条例是结合了最新政府信息公开条例要求和本部门的实际情况，在充分的调查了解的基础上制定的，通过制度的设计促进政府信息公开常态化。2020年，</w:t>
      </w:r>
      <w:r>
        <w:rPr>
          <w:rFonts w:eastAsia="仿宋_GB2312"/>
          <w:color w:val="333333"/>
          <w:kern w:val="0"/>
          <w:sz w:val="32"/>
          <w:szCs w:val="32"/>
        </w:rPr>
        <w:t>根据网站数据统计，全年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本机关</w:t>
      </w:r>
      <w:r>
        <w:rPr>
          <w:rFonts w:eastAsia="仿宋_GB2312"/>
          <w:color w:val="333333"/>
          <w:kern w:val="0"/>
          <w:sz w:val="32"/>
          <w:szCs w:val="32"/>
        </w:rPr>
        <w:t>共主动公开信息2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346</w:t>
      </w:r>
      <w:r>
        <w:rPr>
          <w:rFonts w:eastAsia="仿宋_GB2312"/>
          <w:color w:val="333333"/>
          <w:kern w:val="0"/>
          <w:sz w:val="32"/>
          <w:szCs w:val="32"/>
        </w:rPr>
        <w:t>条，同比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减少</w:t>
      </w:r>
      <w:r>
        <w:rPr>
          <w:rFonts w:eastAsia="仿宋_GB2312"/>
          <w:color w:val="333333"/>
          <w:kern w:val="0"/>
          <w:sz w:val="32"/>
          <w:szCs w:val="32"/>
        </w:rPr>
        <w:t>了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%。公告公示方面有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825</w:t>
      </w:r>
      <w:r>
        <w:rPr>
          <w:rFonts w:eastAsia="仿宋_GB2312"/>
          <w:color w:val="333333"/>
          <w:kern w:val="0"/>
          <w:sz w:val="32"/>
          <w:szCs w:val="32"/>
        </w:rPr>
        <w:t>条，同比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减少</w:t>
      </w:r>
      <w:r>
        <w:rPr>
          <w:rFonts w:eastAsia="仿宋_GB2312"/>
          <w:color w:val="333333"/>
          <w:kern w:val="0"/>
          <w:sz w:val="32"/>
          <w:szCs w:val="32"/>
        </w:rPr>
        <w:t>了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color w:val="333333"/>
          <w:kern w:val="0"/>
          <w:sz w:val="32"/>
          <w:szCs w:val="32"/>
        </w:rPr>
        <w:t>%，其中不动产登记公告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704</w:t>
      </w:r>
      <w:r>
        <w:rPr>
          <w:rFonts w:eastAsia="仿宋_GB2312"/>
          <w:color w:val="333333"/>
          <w:kern w:val="0"/>
          <w:sz w:val="32"/>
          <w:szCs w:val="32"/>
        </w:rPr>
        <w:t>条，占比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85</w:t>
      </w:r>
      <w:r>
        <w:rPr>
          <w:rFonts w:eastAsia="仿宋_GB2312"/>
          <w:color w:val="333333"/>
          <w:kern w:val="0"/>
          <w:sz w:val="32"/>
          <w:szCs w:val="32"/>
        </w:rPr>
        <w:t>%。工作进展消息类有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354</w:t>
      </w:r>
      <w:r>
        <w:rPr>
          <w:rFonts w:eastAsia="仿宋_GB2312"/>
          <w:color w:val="333333"/>
          <w:kern w:val="0"/>
          <w:sz w:val="32"/>
          <w:szCs w:val="32"/>
        </w:rPr>
        <w:t>条，同比增长了1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333333"/>
          <w:kern w:val="0"/>
          <w:sz w:val="32"/>
          <w:szCs w:val="32"/>
        </w:rPr>
        <w:t>%。国有建设用地使用权出让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信息81</w:t>
      </w:r>
      <w:r>
        <w:rPr>
          <w:rFonts w:eastAsia="仿宋_GB2312"/>
          <w:color w:val="333333"/>
          <w:kern w:val="0"/>
          <w:sz w:val="32"/>
          <w:szCs w:val="32"/>
        </w:rPr>
        <w:t>条，城乡规划批前批后公示共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414</w:t>
      </w:r>
      <w:r>
        <w:rPr>
          <w:rFonts w:eastAsia="仿宋_GB2312"/>
          <w:color w:val="333333"/>
          <w:kern w:val="0"/>
          <w:sz w:val="32"/>
          <w:szCs w:val="32"/>
        </w:rPr>
        <w:t>条，同比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减少34</w:t>
      </w:r>
      <w:r>
        <w:rPr>
          <w:rFonts w:eastAsia="仿宋_GB2312"/>
          <w:color w:val="333333"/>
          <w:kern w:val="0"/>
          <w:sz w:val="32"/>
          <w:szCs w:val="32"/>
        </w:rPr>
        <w:t>%。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二是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以公共服务公开化</w:t>
      </w:r>
      <w:r>
        <w:rPr>
          <w:rFonts w:eastAsia="仿宋_GB2312"/>
          <w:color w:val="333333"/>
          <w:kern w:val="0"/>
          <w:sz w:val="32"/>
          <w:szCs w:val="32"/>
        </w:rPr>
        <w:t>，推进政务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便民化</w:t>
      </w:r>
      <w:r>
        <w:rPr>
          <w:rFonts w:eastAsia="仿宋_GB2312"/>
          <w:color w:val="333333"/>
          <w:kern w:val="0"/>
          <w:sz w:val="32"/>
          <w:szCs w:val="32"/>
        </w:rPr>
        <w:t>。20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年度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，本机关</w:t>
      </w:r>
      <w:r>
        <w:rPr>
          <w:rFonts w:eastAsia="仿宋_GB2312"/>
          <w:color w:val="333333"/>
          <w:kern w:val="0"/>
          <w:sz w:val="32"/>
          <w:szCs w:val="32"/>
        </w:rPr>
        <w:t>在浙江政务服务网上主动公开了政府权责清单共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517</w:t>
      </w:r>
      <w:r>
        <w:rPr>
          <w:rFonts w:eastAsia="仿宋_GB2312"/>
          <w:color w:val="333333"/>
          <w:kern w:val="0"/>
          <w:sz w:val="32"/>
          <w:szCs w:val="32"/>
        </w:rPr>
        <w:t xml:space="preserve"> 项。按类型分类，行政处罚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220</w:t>
      </w:r>
      <w:r>
        <w:rPr>
          <w:rFonts w:eastAsia="仿宋_GB2312"/>
          <w:color w:val="333333"/>
          <w:kern w:val="0"/>
          <w:sz w:val="32"/>
          <w:szCs w:val="32"/>
        </w:rPr>
        <w:t>项、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行政检查195</w:t>
      </w:r>
      <w:r>
        <w:rPr>
          <w:rFonts w:eastAsia="仿宋_GB2312"/>
          <w:color w:val="333333"/>
          <w:kern w:val="0"/>
          <w:sz w:val="32"/>
          <w:szCs w:val="32"/>
        </w:rPr>
        <w:t>项、行政许可事项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38</w:t>
      </w:r>
      <w:r>
        <w:rPr>
          <w:rFonts w:eastAsia="仿宋_GB2312"/>
          <w:color w:val="333333"/>
          <w:kern w:val="0"/>
          <w:sz w:val="32"/>
          <w:szCs w:val="32"/>
        </w:rPr>
        <w:t>项、公共服务事项23项、行政强制事项1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333333"/>
          <w:kern w:val="0"/>
          <w:sz w:val="32"/>
          <w:szCs w:val="32"/>
        </w:rPr>
        <w:t>项、行政奖励事项1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333333"/>
          <w:kern w:val="0"/>
          <w:sz w:val="32"/>
          <w:szCs w:val="32"/>
        </w:rPr>
        <w:t>项、行政确认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333333"/>
          <w:kern w:val="0"/>
          <w:sz w:val="32"/>
          <w:szCs w:val="32"/>
        </w:rPr>
        <w:t>项、联办事项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color w:val="333333"/>
          <w:kern w:val="0"/>
          <w:sz w:val="32"/>
          <w:szCs w:val="32"/>
        </w:rPr>
        <w:t>项、行政征收事项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color w:val="333333"/>
          <w:kern w:val="0"/>
          <w:sz w:val="32"/>
          <w:szCs w:val="32"/>
        </w:rPr>
        <w:t>项、行政给付事项1项。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同去年相比，主动公开的数量上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有</w:t>
      </w:r>
      <w:r>
        <w:rPr>
          <w:rFonts w:eastAsia="仿宋_GB2312"/>
          <w:color w:val="333333"/>
          <w:kern w:val="0"/>
          <w:sz w:val="32"/>
          <w:szCs w:val="32"/>
        </w:rPr>
        <w:t>较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少的降幅</w:t>
      </w:r>
      <w:r>
        <w:rPr>
          <w:rFonts w:eastAsia="仿宋_GB2312"/>
          <w:color w:val="333333"/>
          <w:kern w:val="0"/>
          <w:sz w:val="32"/>
          <w:szCs w:val="32"/>
        </w:rPr>
        <w:t>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主要</w:t>
      </w:r>
      <w:r>
        <w:rPr>
          <w:rFonts w:eastAsia="仿宋_GB2312"/>
          <w:color w:val="333333"/>
          <w:kern w:val="0"/>
          <w:sz w:val="32"/>
          <w:szCs w:val="32"/>
        </w:rPr>
        <w:t>是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由于上半年疫情缘故</w:t>
      </w:r>
      <w:r>
        <w:rPr>
          <w:rFonts w:eastAsia="仿宋_GB2312"/>
          <w:color w:val="333333"/>
          <w:kern w:val="0"/>
          <w:sz w:val="32"/>
          <w:szCs w:val="32"/>
        </w:rPr>
        <w:t>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业务办理数量相对有所减少。本机关将更加进一步加强公开</w:t>
      </w:r>
      <w:r>
        <w:rPr>
          <w:rFonts w:eastAsia="仿宋_GB2312"/>
          <w:color w:val="333333"/>
          <w:kern w:val="0"/>
          <w:sz w:val="32"/>
          <w:szCs w:val="32"/>
        </w:rPr>
        <w:t>意识，认真梳理本局主动公开内容清单，明确各自职责，确保信息公开工作能够及时有效的得到实行。充分发挥政府信息对人民群众生产、生活和经济社会活动的服务作用。</w:t>
      </w:r>
    </w:p>
    <w:p>
      <w:pPr>
        <w:widowControl/>
        <w:spacing w:after="240"/>
        <w:ind w:firstLine="321" w:firstLineChars="100"/>
        <w:rPr>
          <w:rFonts w:eastAsia="楷体_GB2312"/>
          <w:b/>
          <w:bCs/>
          <w:color w:val="333333"/>
          <w:kern w:val="0"/>
          <w:sz w:val="32"/>
          <w:szCs w:val="32"/>
        </w:rPr>
      </w:pPr>
      <w:r>
        <w:rPr>
          <w:rFonts w:eastAsia="楷体_GB2312"/>
          <w:b/>
          <w:bCs/>
          <w:color w:val="333333"/>
          <w:kern w:val="0"/>
          <w:sz w:val="32"/>
          <w:szCs w:val="32"/>
        </w:rPr>
        <w:t>（二）政府信息依申请公开方面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一是制度设计更加完善。</w:t>
      </w:r>
      <w:r>
        <w:rPr>
          <w:rFonts w:eastAsia="仿宋_GB2312"/>
          <w:color w:val="333333"/>
          <w:kern w:val="0"/>
          <w:sz w:val="32"/>
          <w:szCs w:val="32"/>
        </w:rPr>
        <w:t>根据《中华人民共和国政府信息公开条例》的要求，本机关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结合了具体工作</w:t>
      </w:r>
      <w:r>
        <w:rPr>
          <w:rFonts w:eastAsia="仿宋_GB2312"/>
          <w:color w:val="333333"/>
          <w:kern w:val="0"/>
          <w:sz w:val="32"/>
          <w:szCs w:val="32"/>
        </w:rPr>
        <w:t>实际，制定了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《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余姚市自然资源和规划局政府信息依申请公开暂行办法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》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该办法明确了职责分工，明晰了收件、受理、办理等过程，提高了部门间沟通办理效率。</w:t>
      </w:r>
      <w:r>
        <w:rPr>
          <w:rFonts w:eastAsia="仿宋_GB2312"/>
          <w:color w:val="333333"/>
          <w:kern w:val="0"/>
          <w:sz w:val="32"/>
          <w:szCs w:val="32"/>
        </w:rPr>
        <w:t>20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年全年，我局依申请公开共接收1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份，同比增长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333333"/>
          <w:kern w:val="0"/>
          <w:sz w:val="32"/>
          <w:szCs w:val="32"/>
        </w:rPr>
        <w:t>%。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二是网络申请成为主渠道。2020年，</w:t>
      </w:r>
      <w:r>
        <w:rPr>
          <w:rFonts w:eastAsia="仿宋_GB2312"/>
          <w:color w:val="333333"/>
          <w:kern w:val="0"/>
          <w:sz w:val="32"/>
          <w:szCs w:val="32"/>
        </w:rPr>
        <w:t>网络申请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70</w:t>
      </w:r>
      <w:r>
        <w:rPr>
          <w:rFonts w:eastAsia="仿宋_GB2312"/>
          <w:color w:val="333333"/>
          <w:kern w:val="0"/>
          <w:sz w:val="32"/>
          <w:szCs w:val="32"/>
        </w:rPr>
        <w:t>份，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同比增长146</w:t>
      </w:r>
      <w:r>
        <w:rPr>
          <w:rFonts w:eastAsia="仿宋_GB2312"/>
          <w:color w:val="333333"/>
          <w:kern w:val="0"/>
          <w:sz w:val="32"/>
          <w:szCs w:val="32"/>
        </w:rPr>
        <w:t>%，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现场</w:t>
      </w:r>
      <w:r>
        <w:rPr>
          <w:rFonts w:eastAsia="仿宋_GB2312"/>
          <w:color w:val="333333"/>
          <w:kern w:val="0"/>
          <w:sz w:val="32"/>
          <w:szCs w:val="32"/>
        </w:rPr>
        <w:t>申请数量为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份，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同比下降58</w:t>
      </w:r>
      <w:r>
        <w:rPr>
          <w:rFonts w:eastAsia="仿宋_GB2312"/>
          <w:color w:val="333333"/>
          <w:kern w:val="0"/>
          <w:sz w:val="32"/>
          <w:szCs w:val="32"/>
        </w:rPr>
        <w:t>%，邮寄申请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30</w:t>
      </w:r>
      <w:r>
        <w:rPr>
          <w:rFonts w:eastAsia="仿宋_GB2312"/>
          <w:color w:val="333333"/>
          <w:kern w:val="0"/>
          <w:sz w:val="32"/>
          <w:szCs w:val="32"/>
        </w:rPr>
        <w:t>份，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同比增长11</w:t>
      </w:r>
      <w:r>
        <w:rPr>
          <w:rFonts w:eastAsia="仿宋_GB2312"/>
          <w:color w:val="333333"/>
          <w:kern w:val="0"/>
          <w:sz w:val="32"/>
          <w:szCs w:val="32"/>
        </w:rPr>
        <w:t>%。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三是申请内容更加集中。</w:t>
      </w:r>
      <w:r>
        <w:rPr>
          <w:rFonts w:eastAsia="仿宋_GB2312"/>
          <w:color w:val="333333"/>
          <w:kern w:val="0"/>
          <w:sz w:val="32"/>
          <w:szCs w:val="32"/>
        </w:rPr>
        <w:t>主要集中在土地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建筑</w:t>
      </w:r>
      <w:r>
        <w:rPr>
          <w:rFonts w:eastAsia="仿宋_GB2312"/>
          <w:color w:val="333333"/>
          <w:kern w:val="0"/>
          <w:sz w:val="32"/>
          <w:szCs w:val="32"/>
        </w:rPr>
        <w:t>规划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333333"/>
          <w:kern w:val="0"/>
          <w:sz w:val="32"/>
          <w:szCs w:val="32"/>
        </w:rPr>
        <w:t>行政处罚、和征地方面，分别为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73</w:t>
      </w:r>
      <w:r>
        <w:rPr>
          <w:rFonts w:eastAsia="仿宋_GB2312"/>
          <w:color w:val="333333"/>
          <w:kern w:val="0"/>
          <w:sz w:val="32"/>
          <w:szCs w:val="32"/>
        </w:rPr>
        <w:t>件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13</w:t>
      </w:r>
      <w:r>
        <w:rPr>
          <w:rFonts w:eastAsia="仿宋_GB2312"/>
          <w:color w:val="333333"/>
          <w:kern w:val="0"/>
          <w:sz w:val="32"/>
          <w:szCs w:val="32"/>
        </w:rPr>
        <w:t>件、1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333333"/>
          <w:kern w:val="0"/>
          <w:sz w:val="32"/>
          <w:szCs w:val="32"/>
        </w:rPr>
        <w:t>件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分别同比增长265%、同比减少41%、同比减少28%</w:t>
      </w:r>
      <w:r>
        <w:rPr>
          <w:rFonts w:eastAsia="仿宋_GB2312"/>
          <w:color w:val="333333"/>
          <w:kern w:val="0"/>
          <w:sz w:val="32"/>
          <w:szCs w:val="32"/>
        </w:rPr>
        <w:t>。本年度因信息公开所引起的行政复议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5件</w:t>
      </w:r>
      <w:r>
        <w:rPr>
          <w:rFonts w:eastAsia="仿宋_GB2312"/>
          <w:color w:val="333333"/>
          <w:kern w:val="0"/>
          <w:sz w:val="32"/>
          <w:szCs w:val="32"/>
        </w:rPr>
        <w:t>，其中维持具体行政行为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4件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撤销告知书1件</w:t>
      </w:r>
      <w:r>
        <w:rPr>
          <w:rFonts w:hint="eastAsia" w:eastAsia="仿宋_GB2312"/>
          <w:color w:val="333333"/>
          <w:kern w:val="0"/>
          <w:sz w:val="32"/>
          <w:szCs w:val="32"/>
        </w:rPr>
        <w:t>。</w:t>
      </w:r>
      <w:r>
        <w:rPr>
          <w:rFonts w:eastAsia="仿宋_GB2312"/>
          <w:color w:val="333333"/>
          <w:kern w:val="0"/>
          <w:sz w:val="32"/>
          <w:szCs w:val="32"/>
        </w:rPr>
        <w:t>因信息公开所引起的行政诉讼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件，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件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维持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</w:p>
    <w:p>
      <w:pPr>
        <w:widowControl/>
        <w:spacing w:after="240"/>
        <w:ind w:firstLine="480"/>
        <w:rPr>
          <w:rFonts w:eastAsia="楷体_GB2312"/>
          <w:b/>
          <w:bCs/>
          <w:color w:val="333333"/>
          <w:kern w:val="0"/>
          <w:sz w:val="32"/>
          <w:szCs w:val="32"/>
        </w:rPr>
      </w:pPr>
      <w:r>
        <w:rPr>
          <w:rFonts w:eastAsia="楷体_GB2312"/>
          <w:b/>
          <w:bCs/>
          <w:color w:val="333333"/>
          <w:kern w:val="0"/>
          <w:sz w:val="32"/>
          <w:szCs w:val="32"/>
        </w:rPr>
        <w:t>（三）政府信息管理方面</w:t>
      </w:r>
    </w:p>
    <w:p>
      <w:pPr>
        <w:widowControl/>
        <w:spacing w:after="240"/>
        <w:ind w:firstLine="640" w:firstLineChars="200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、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政府信息公开渠道专业化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一是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政府公开网站栏目设置更加合理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去年一年，我们对照主动公开信息的要求和</w:t>
      </w:r>
      <w:r>
        <w:rPr>
          <w:rFonts w:eastAsia="仿宋_GB2312"/>
          <w:color w:val="333333"/>
          <w:kern w:val="0"/>
          <w:sz w:val="32"/>
          <w:szCs w:val="32"/>
        </w:rPr>
        <w:t>具体业务公告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的需要</w:t>
      </w:r>
      <w:r>
        <w:rPr>
          <w:rFonts w:eastAsia="仿宋_GB2312"/>
          <w:color w:val="333333"/>
          <w:kern w:val="0"/>
          <w:sz w:val="32"/>
          <w:szCs w:val="32"/>
        </w:rPr>
        <w:t>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对网站公开栏目进行了梳理，</w:t>
      </w:r>
      <w:r>
        <w:rPr>
          <w:rFonts w:eastAsia="仿宋_GB2312"/>
          <w:color w:val="333333"/>
          <w:kern w:val="0"/>
          <w:sz w:val="32"/>
          <w:szCs w:val="32"/>
        </w:rPr>
        <w:t>每季度定期要求相关科室提供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对应</w:t>
      </w:r>
      <w:r>
        <w:rPr>
          <w:rFonts w:eastAsia="仿宋_GB2312"/>
          <w:color w:val="333333"/>
          <w:kern w:val="0"/>
          <w:sz w:val="32"/>
          <w:szCs w:val="32"/>
        </w:rPr>
        <w:t>公开信息，部分实时信息要求在5个工作日内提供，经审核后发布。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二是信息渠道更加多样，根据各科室业务的需要，我们有针对性的在宁波市自然资源和规划局网站，余姚市招投标网站、余姚日报、浙江省土地使用权网上交易系统网站、浙江省矿业权网上交易系统网站、浙江省征地信息公开平台等平台公开对应信息。三</w:t>
      </w:r>
      <w:r>
        <w:rPr>
          <w:rFonts w:eastAsia="仿宋_GB2312"/>
          <w:color w:val="333333"/>
          <w:kern w:val="0"/>
          <w:sz w:val="32"/>
          <w:szCs w:val="32"/>
        </w:rPr>
        <w:t>是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微博、微信发布信息更加契合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针对微博、微信平台的特点，我们采取多种排版方式、图文、视频并茂的展示宣传政府信息，让群众更易获知、更愿获知政府信息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</w:p>
    <w:p>
      <w:pPr>
        <w:widowControl/>
        <w:spacing w:after="240"/>
        <w:ind w:firstLine="640" w:firstLineChars="200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333333"/>
          <w:kern w:val="0"/>
          <w:sz w:val="32"/>
          <w:szCs w:val="32"/>
        </w:rPr>
        <w:t>2、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政府信息公开内容标准化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一是编制</w:t>
      </w:r>
      <w:r>
        <w:rPr>
          <w:rFonts w:hint="eastAsia" w:eastAsia="仿宋_GB2312"/>
          <w:color w:val="333333"/>
          <w:kern w:val="0"/>
          <w:sz w:val="32"/>
          <w:szCs w:val="32"/>
        </w:rPr>
        <w:t>规划领域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农村集体土地征收领域</w:t>
      </w:r>
      <w:r>
        <w:rPr>
          <w:rFonts w:hint="eastAsia" w:eastAsia="仿宋_GB2312"/>
          <w:color w:val="333333"/>
          <w:kern w:val="0"/>
          <w:sz w:val="32"/>
          <w:szCs w:val="32"/>
        </w:rPr>
        <w:t>基层政务公开标准目录</w:t>
      </w:r>
      <w:r>
        <w:rPr>
          <w:rFonts w:eastAsia="仿宋_GB2312"/>
          <w:color w:val="333333"/>
          <w:kern w:val="0"/>
          <w:sz w:val="32"/>
          <w:szCs w:val="32"/>
        </w:rPr>
        <w:t>，</w:t>
      </w:r>
      <w:r>
        <w:rPr>
          <w:rFonts w:hint="eastAsia" w:eastAsia="仿宋_GB2312"/>
          <w:color w:val="333333"/>
          <w:kern w:val="0"/>
          <w:sz w:val="32"/>
          <w:szCs w:val="32"/>
        </w:rPr>
        <w:t>根据国家部委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的公开标准</w:t>
      </w:r>
      <w:r>
        <w:rPr>
          <w:rFonts w:hint="eastAsia" w:eastAsia="仿宋_GB2312"/>
          <w:color w:val="333333"/>
          <w:kern w:val="0"/>
          <w:sz w:val="32"/>
          <w:szCs w:val="32"/>
        </w:rPr>
        <w:t>目录指引，结合我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局</w:t>
      </w:r>
      <w:r>
        <w:rPr>
          <w:rFonts w:hint="eastAsia" w:eastAsia="仿宋_GB2312"/>
          <w:color w:val="333333"/>
          <w:kern w:val="0"/>
          <w:sz w:val="32"/>
          <w:szCs w:val="32"/>
        </w:rPr>
        <w:t>实际，逐项梳理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规划领域和农村集体土地征收</w:t>
      </w:r>
      <w:r>
        <w:rPr>
          <w:rFonts w:hint="eastAsia" w:eastAsia="仿宋_GB2312"/>
          <w:color w:val="333333"/>
          <w:kern w:val="0"/>
          <w:sz w:val="32"/>
          <w:szCs w:val="32"/>
        </w:rPr>
        <w:t>领域公开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的公开目录</w:t>
      </w:r>
      <w:r>
        <w:rPr>
          <w:rFonts w:eastAsia="仿宋_GB2312"/>
          <w:color w:val="333333"/>
          <w:kern w:val="0"/>
          <w:sz w:val="32"/>
          <w:szCs w:val="32"/>
        </w:rPr>
        <w:t>。二是设立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各项信息公开专栏。开设了</w:t>
      </w:r>
      <w:r>
        <w:rPr>
          <w:rFonts w:eastAsia="仿宋_GB2312"/>
          <w:color w:val="333333"/>
          <w:kern w:val="0"/>
          <w:sz w:val="32"/>
          <w:szCs w:val="32"/>
        </w:rPr>
        <w:t>“征地拆迁阳光工程专栏”“阳光矿政专栏”“阳光规划专栏”“不动产登记专栏”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等四个专栏，</w:t>
      </w:r>
      <w:r>
        <w:rPr>
          <w:rFonts w:eastAsia="仿宋_GB2312"/>
          <w:color w:val="333333"/>
          <w:kern w:val="0"/>
          <w:sz w:val="32"/>
          <w:szCs w:val="32"/>
        </w:rPr>
        <w:t>各专栏以余姚市人民政府信息公开平台网站为依托，主动、及时公开相关征地拆迁、矿产出让、土地规划、不动产登记公告等信息。</w:t>
      </w:r>
    </w:p>
    <w:p>
      <w:pPr>
        <w:widowControl/>
        <w:spacing w:after="240"/>
        <w:ind w:firstLine="643" w:firstLineChars="200"/>
        <w:rPr>
          <w:rFonts w:eastAsia="楷体_GB2312"/>
          <w:b/>
          <w:bCs/>
          <w:color w:val="333333"/>
          <w:kern w:val="0"/>
          <w:sz w:val="32"/>
          <w:szCs w:val="32"/>
        </w:rPr>
      </w:pPr>
      <w:r>
        <w:rPr>
          <w:rFonts w:eastAsia="楷体_GB2312"/>
          <w:b/>
          <w:bCs/>
          <w:color w:val="333333"/>
          <w:kern w:val="0"/>
          <w:sz w:val="32"/>
          <w:szCs w:val="32"/>
        </w:rPr>
        <w:t>（四）平台建设方面</w:t>
      </w:r>
    </w:p>
    <w:p>
      <w:pPr>
        <w:widowControl/>
        <w:spacing w:after="240"/>
        <w:ind w:firstLine="640" w:firstLineChars="200"/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333333"/>
          <w:kern w:val="0"/>
          <w:sz w:val="32"/>
          <w:szCs w:val="32"/>
        </w:rPr>
        <w:t>一方面，在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新媒体平台</w:t>
      </w:r>
      <w:r>
        <w:rPr>
          <w:rFonts w:eastAsia="仿宋_GB2312"/>
          <w:color w:val="333333"/>
          <w:kern w:val="0"/>
          <w:sz w:val="32"/>
          <w:szCs w:val="32"/>
        </w:rPr>
        <w:t>上开设政务微博账号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和微信公众号</w:t>
      </w:r>
      <w:r>
        <w:rPr>
          <w:rFonts w:eastAsia="仿宋_GB2312"/>
          <w:color w:val="333333"/>
          <w:kern w:val="0"/>
          <w:sz w:val="32"/>
          <w:szCs w:val="32"/>
        </w:rPr>
        <w:t>，推进政务在微博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和微信</w:t>
      </w:r>
      <w:r>
        <w:rPr>
          <w:rFonts w:eastAsia="仿宋_GB2312"/>
          <w:color w:val="333333"/>
          <w:kern w:val="0"/>
          <w:sz w:val="32"/>
          <w:szCs w:val="32"/>
        </w:rPr>
        <w:t>上及时有效的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color w:val="333333"/>
          <w:kern w:val="0"/>
          <w:sz w:val="32"/>
          <w:szCs w:val="32"/>
        </w:rPr>
        <w:t>。20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年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全年</w:t>
      </w:r>
      <w:r>
        <w:rPr>
          <w:rFonts w:eastAsia="仿宋_GB2312"/>
          <w:color w:val="333333"/>
          <w:kern w:val="0"/>
          <w:sz w:val="32"/>
          <w:szCs w:val="32"/>
        </w:rPr>
        <w:t>，微博上更新内容条数位1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48</w:t>
      </w:r>
      <w:r>
        <w:rPr>
          <w:rFonts w:eastAsia="仿宋_GB2312"/>
          <w:color w:val="333333"/>
          <w:kern w:val="0"/>
          <w:sz w:val="32"/>
          <w:szCs w:val="32"/>
        </w:rPr>
        <w:t>条，内容主要集中在国有土地使用权出让公告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成交公示</w:t>
      </w:r>
      <w:r>
        <w:rPr>
          <w:rFonts w:eastAsia="仿宋_GB2312"/>
          <w:color w:val="333333"/>
          <w:kern w:val="0"/>
          <w:sz w:val="32"/>
          <w:szCs w:val="32"/>
        </w:rPr>
        <w:t>、国土相关业务最新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进展</w:t>
      </w:r>
      <w:r>
        <w:rPr>
          <w:rFonts w:eastAsia="仿宋_GB2312"/>
          <w:color w:val="333333"/>
          <w:kern w:val="0"/>
          <w:sz w:val="32"/>
          <w:szCs w:val="32"/>
        </w:rPr>
        <w:t>等方面。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微信上发布411条，开设了机关党建专栏，并推出《资规讲堂》《有声党课》等音视频栏目。发布</w:t>
      </w:r>
      <w:r>
        <w:rPr>
          <w:rFonts w:eastAsia="仿宋_GB2312"/>
          <w:color w:val="333333"/>
          <w:kern w:val="0"/>
          <w:sz w:val="32"/>
          <w:szCs w:val="32"/>
        </w:rPr>
        <w:t>内容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上主要集中</w:t>
      </w:r>
      <w:r>
        <w:rPr>
          <w:rFonts w:eastAsia="仿宋_GB2312"/>
          <w:color w:val="333333"/>
          <w:kern w:val="0"/>
          <w:sz w:val="32"/>
          <w:szCs w:val="32"/>
        </w:rPr>
        <w:t>在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自然资源法律法规宣传、近期工作进展等方面。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另一方面，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优化局政府信息公开平台网站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该平台网站共分为五个模块，分别是政府信息公开指南、政府信息公开制度、法定主动公开内容、政府信息公开年报和申请公开政府信息。群众可以通过该平台全面详细了解政务信息公开的获取方式和渠道，参与政务互动，了解政府的工作内容，更好的配合政府治理。</w:t>
      </w:r>
    </w:p>
    <w:p>
      <w:pPr>
        <w:widowControl/>
        <w:spacing w:after="240"/>
        <w:ind w:firstLine="643" w:firstLineChars="200"/>
        <w:rPr>
          <w:rFonts w:eastAsia="楷体_GB2312"/>
          <w:b/>
          <w:bCs/>
          <w:color w:val="333333"/>
          <w:kern w:val="0"/>
          <w:sz w:val="32"/>
          <w:szCs w:val="32"/>
        </w:rPr>
      </w:pPr>
      <w:r>
        <w:rPr>
          <w:rFonts w:eastAsia="楷体_GB2312"/>
          <w:b/>
          <w:bCs/>
          <w:color w:val="333333"/>
          <w:kern w:val="0"/>
          <w:sz w:val="32"/>
          <w:szCs w:val="32"/>
        </w:rPr>
        <w:t>（五）监督保障方面</w:t>
      </w:r>
    </w:p>
    <w:p>
      <w:pPr>
        <w:widowControl/>
        <w:spacing w:after="240"/>
        <w:ind w:firstLine="640" w:firstLineChars="20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一是成立“政府信息公开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工作</w:t>
      </w:r>
      <w:r>
        <w:rPr>
          <w:rFonts w:eastAsia="仿宋_GB2312"/>
          <w:color w:val="333333"/>
          <w:kern w:val="0"/>
          <w:sz w:val="32"/>
          <w:szCs w:val="32"/>
        </w:rPr>
        <w:t>领导小组”，由主要领导担任组长，由分管领导担任副组长，各成员由自然资源和规划所、科室、局属事业单位负责人担任，明确成员的职责，落实信息公开。二是出台了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新的</w:t>
      </w:r>
      <w:r>
        <w:rPr>
          <w:rFonts w:eastAsia="仿宋_GB2312"/>
          <w:color w:val="333333"/>
          <w:kern w:val="0"/>
          <w:sz w:val="32"/>
          <w:szCs w:val="32"/>
        </w:rPr>
        <w:t>政府信息主动公开暂行办法和依申请公开暂行办法，按照“以公开为常态，以不公开为例外”的工作要求，以行政权力为重点，以政务公开为原则，以电子政务为载体，积极做好政府信息公开工作。三是制定政府信息公开保密审查制度和责任追究制度，在公开相关信息前，由科室负责人、分管领导对公开内容进行审核，防止涉密或敏感信息的违规发布。</w:t>
      </w:r>
    </w:p>
    <w:p>
      <w:pPr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br w:type="page"/>
      </w:r>
    </w:p>
    <w:p>
      <w:pPr>
        <w:widowControl/>
        <w:spacing w:after="24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-44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+15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146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+74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1</w:t>
            </w: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146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215</w:t>
            </w:r>
          </w:p>
        </w:tc>
        <w:tc>
          <w:tcPr>
            <w:tcW w:w="3146" w:type="dxa"/>
            <w:gridSpan w:val="2"/>
            <w:noWrap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2130</w:t>
            </w:r>
            <w:r>
              <w:rPr>
                <w:color w:val="auto"/>
                <w:kern w:val="0"/>
                <w:szCs w:val="21"/>
              </w:rPr>
              <w:t>.3</w:t>
            </w:r>
            <w:r>
              <w:rPr>
                <w:rFonts w:hint="eastAsia"/>
                <w:color w:val="auto"/>
                <w:kern w:val="0"/>
                <w:szCs w:val="21"/>
              </w:rPr>
              <w:t>万</w:t>
            </w:r>
          </w:p>
        </w:tc>
      </w:tr>
    </w:tbl>
    <w:p>
      <w:pPr>
        <w:widowControl/>
        <w:ind w:firstLine="480"/>
        <w:rPr>
          <w:color w:val="333333"/>
          <w:kern w:val="0"/>
          <w:sz w:val="24"/>
        </w:rPr>
      </w:pPr>
    </w:p>
    <w:p>
      <w:pPr>
        <w:rPr>
          <w:rFonts w:eastAsia="黑体"/>
          <w:b/>
          <w:bCs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br w:type="page"/>
      </w:r>
    </w:p>
    <w:p>
      <w:pPr>
        <w:widowControl/>
        <w:spacing w:after="240"/>
        <w:ind w:firstLine="48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color w:val="333333"/>
                <w:kern w:val="0"/>
                <w:szCs w:val="21"/>
              </w:rPr>
              <w:t>1</w:t>
            </w: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eastAsia="楷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default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eastAsia="黑体"/>
          <w:color w:val="333333"/>
          <w:kern w:val="0"/>
          <w:sz w:val="32"/>
          <w:szCs w:val="32"/>
        </w:rPr>
      </w:pPr>
    </w:p>
    <w:p>
      <w:pPr>
        <w:widowControl/>
        <w:ind w:firstLine="48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ind w:firstLine="480"/>
        <w:rPr>
          <w:color w:val="333333"/>
          <w:kern w:val="0"/>
          <w:sz w:val="24"/>
        </w:rPr>
      </w:pP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widowControl/>
        <w:jc w:val="center"/>
        <w:rPr>
          <w:color w:val="333333"/>
          <w:kern w:val="0"/>
          <w:sz w:val="24"/>
        </w:rPr>
      </w:pPr>
    </w:p>
    <w:p>
      <w:pPr>
        <w:widowControl/>
        <w:ind w:firstLine="48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ind w:firstLine="640" w:firstLineChars="200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333333"/>
          <w:kern w:val="0"/>
          <w:sz w:val="32"/>
          <w:szCs w:val="32"/>
        </w:rPr>
        <w:t>一是政务公开的积极性和时效性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仍需</w:t>
      </w:r>
      <w:r>
        <w:rPr>
          <w:rFonts w:eastAsia="仿宋_GB2312"/>
          <w:color w:val="333333"/>
          <w:kern w:val="0"/>
          <w:sz w:val="32"/>
          <w:szCs w:val="32"/>
        </w:rPr>
        <w:t>改进。在执行政务公开工作中，部分人员人员主动性仍旧还不够，部分信息时效性上有所欠缺。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2020年，通过开展信息公开培训，结合“夜学”的方式，局工作人员均对信息公开的认识已有了很大的提高。</w:t>
      </w:r>
    </w:p>
    <w:p>
      <w:pPr>
        <w:widowControl/>
        <w:ind w:firstLine="640" w:firstLineChars="200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333333"/>
          <w:kern w:val="0"/>
          <w:sz w:val="32"/>
          <w:szCs w:val="32"/>
        </w:rPr>
        <w:t>二是依申请信息公开的数量和难度逐年增加。数量上，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color w:val="333333"/>
          <w:kern w:val="0"/>
          <w:sz w:val="32"/>
          <w:szCs w:val="32"/>
        </w:rPr>
        <w:t>年申请数量是1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333333"/>
          <w:kern w:val="0"/>
          <w:sz w:val="32"/>
          <w:szCs w:val="32"/>
        </w:rPr>
        <w:t>件，同比增长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333333"/>
          <w:kern w:val="0"/>
          <w:sz w:val="32"/>
          <w:szCs w:val="32"/>
        </w:rPr>
        <w:t>%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eastAsia="仿宋_GB2312"/>
          <w:color w:val="333333"/>
          <w:kern w:val="0"/>
          <w:sz w:val="32"/>
          <w:szCs w:val="32"/>
        </w:rPr>
        <w:t>难度上，一方面，同一申请人所申请的资料复杂性增加，涉及到多份资料，往往还与信访信息杂糅，内容查找难。另一方面，从行政复议或行政诉讼角度来看，法院或者上级主管部门对于依申请的规范性和严谨性要求越来越高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2020年，通过积极与申请人沟通，了解申请用途，提高提供资料信息的准确性，为建设服务型政府积极努力。</w:t>
      </w:r>
    </w:p>
    <w:p>
      <w:pPr>
        <w:widowControl/>
        <w:ind w:firstLine="640" w:firstLineChars="200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333333"/>
          <w:kern w:val="0"/>
          <w:sz w:val="32"/>
          <w:szCs w:val="32"/>
        </w:rPr>
        <w:t>三是信息平台建设有待进一步加强、信息公开栏目有待进一步优化。在微信公众号，微博等平台上，更新频率有待增加。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2020年，微信、微博动态频次有了明显的增加，对网站的信息公开栏目进行了整合，提供了更优质的政府信息公开获取的服务。</w:t>
      </w:r>
    </w:p>
    <w:p>
      <w:pPr>
        <w:widowControl/>
        <w:ind w:firstLine="480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64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无</w:t>
      </w:r>
    </w:p>
    <w:p>
      <w:pPr>
        <w:ind w:firstLine="640"/>
        <w:jc w:val="right"/>
        <w:rPr>
          <w:rFonts w:hint="eastAsia" w:eastAsia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余姚市自然资源和规划局</w:t>
      </w:r>
    </w:p>
    <w:p>
      <w:pPr>
        <w:ind w:firstLine="640"/>
        <w:jc w:val="right"/>
        <w:rPr>
          <w:rFonts w:hint="default" w:eastAsia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2021年1月14日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F"/>
    <w:rsid w:val="000035BB"/>
    <w:rsid w:val="000037ED"/>
    <w:rsid w:val="000140F5"/>
    <w:rsid w:val="0001463C"/>
    <w:rsid w:val="00024734"/>
    <w:rsid w:val="00032329"/>
    <w:rsid w:val="00035CF3"/>
    <w:rsid w:val="00037E86"/>
    <w:rsid w:val="00040EA5"/>
    <w:rsid w:val="00041159"/>
    <w:rsid w:val="000443B3"/>
    <w:rsid w:val="0005152D"/>
    <w:rsid w:val="00052479"/>
    <w:rsid w:val="00060AC9"/>
    <w:rsid w:val="0006285D"/>
    <w:rsid w:val="00066E8A"/>
    <w:rsid w:val="0007412C"/>
    <w:rsid w:val="0007772E"/>
    <w:rsid w:val="0008115E"/>
    <w:rsid w:val="0008256B"/>
    <w:rsid w:val="00085E6D"/>
    <w:rsid w:val="000865BF"/>
    <w:rsid w:val="00087077"/>
    <w:rsid w:val="00091187"/>
    <w:rsid w:val="00094C83"/>
    <w:rsid w:val="00097D0C"/>
    <w:rsid w:val="000B1036"/>
    <w:rsid w:val="000B30B0"/>
    <w:rsid w:val="000B499F"/>
    <w:rsid w:val="000B591A"/>
    <w:rsid w:val="000B7D67"/>
    <w:rsid w:val="000C0094"/>
    <w:rsid w:val="000C1D40"/>
    <w:rsid w:val="000E042A"/>
    <w:rsid w:val="000E073B"/>
    <w:rsid w:val="000E1BD5"/>
    <w:rsid w:val="000E1D3C"/>
    <w:rsid w:val="000E5987"/>
    <w:rsid w:val="000E6FD5"/>
    <w:rsid w:val="000F34DF"/>
    <w:rsid w:val="000F372A"/>
    <w:rsid w:val="00100612"/>
    <w:rsid w:val="001026C8"/>
    <w:rsid w:val="0012256A"/>
    <w:rsid w:val="00127ACF"/>
    <w:rsid w:val="00137A9F"/>
    <w:rsid w:val="00137E39"/>
    <w:rsid w:val="00143B7E"/>
    <w:rsid w:val="00153331"/>
    <w:rsid w:val="0015483B"/>
    <w:rsid w:val="00155FC7"/>
    <w:rsid w:val="001562E5"/>
    <w:rsid w:val="0016406D"/>
    <w:rsid w:val="00165916"/>
    <w:rsid w:val="00167306"/>
    <w:rsid w:val="00176E59"/>
    <w:rsid w:val="001773DA"/>
    <w:rsid w:val="001824EE"/>
    <w:rsid w:val="00183250"/>
    <w:rsid w:val="0018601A"/>
    <w:rsid w:val="00186FE9"/>
    <w:rsid w:val="00190D6B"/>
    <w:rsid w:val="001A3D35"/>
    <w:rsid w:val="001A3FB9"/>
    <w:rsid w:val="001A6BA8"/>
    <w:rsid w:val="001A6CDB"/>
    <w:rsid w:val="001A7877"/>
    <w:rsid w:val="001B46D2"/>
    <w:rsid w:val="001B7643"/>
    <w:rsid w:val="001C34BB"/>
    <w:rsid w:val="001C3DC7"/>
    <w:rsid w:val="001D2502"/>
    <w:rsid w:val="001D3F01"/>
    <w:rsid w:val="001E1EC1"/>
    <w:rsid w:val="001F0F32"/>
    <w:rsid w:val="001F1F40"/>
    <w:rsid w:val="001F21DD"/>
    <w:rsid w:val="001F3FA9"/>
    <w:rsid w:val="001F4CD1"/>
    <w:rsid w:val="001F73EE"/>
    <w:rsid w:val="002077C8"/>
    <w:rsid w:val="002143D3"/>
    <w:rsid w:val="00220E01"/>
    <w:rsid w:val="002256E7"/>
    <w:rsid w:val="002267A3"/>
    <w:rsid w:val="00230E58"/>
    <w:rsid w:val="00233D10"/>
    <w:rsid w:val="0023457B"/>
    <w:rsid w:val="002348A3"/>
    <w:rsid w:val="00244977"/>
    <w:rsid w:val="00251980"/>
    <w:rsid w:val="00252D2D"/>
    <w:rsid w:val="002665AB"/>
    <w:rsid w:val="00266E98"/>
    <w:rsid w:val="00275B7F"/>
    <w:rsid w:val="002774D7"/>
    <w:rsid w:val="00281BF1"/>
    <w:rsid w:val="00284622"/>
    <w:rsid w:val="00284E5B"/>
    <w:rsid w:val="00286CD2"/>
    <w:rsid w:val="00291151"/>
    <w:rsid w:val="00292D84"/>
    <w:rsid w:val="00293E5C"/>
    <w:rsid w:val="00296735"/>
    <w:rsid w:val="002A0E09"/>
    <w:rsid w:val="002A22E1"/>
    <w:rsid w:val="002A2756"/>
    <w:rsid w:val="002A2F2B"/>
    <w:rsid w:val="002A43B1"/>
    <w:rsid w:val="002A5F2D"/>
    <w:rsid w:val="002A7989"/>
    <w:rsid w:val="002B0D6D"/>
    <w:rsid w:val="002B17D5"/>
    <w:rsid w:val="002B6585"/>
    <w:rsid w:val="002C1F8A"/>
    <w:rsid w:val="002C2C89"/>
    <w:rsid w:val="002C5CCC"/>
    <w:rsid w:val="002C6F87"/>
    <w:rsid w:val="002D06E4"/>
    <w:rsid w:val="002D4C79"/>
    <w:rsid w:val="002D5F3F"/>
    <w:rsid w:val="002D6319"/>
    <w:rsid w:val="002D745D"/>
    <w:rsid w:val="002E02CA"/>
    <w:rsid w:val="002E3220"/>
    <w:rsid w:val="002E7342"/>
    <w:rsid w:val="002F17D0"/>
    <w:rsid w:val="002F66EC"/>
    <w:rsid w:val="00310F33"/>
    <w:rsid w:val="00311AE4"/>
    <w:rsid w:val="00315281"/>
    <w:rsid w:val="00316328"/>
    <w:rsid w:val="003211FB"/>
    <w:rsid w:val="00340E54"/>
    <w:rsid w:val="00357E34"/>
    <w:rsid w:val="003634FD"/>
    <w:rsid w:val="00363B98"/>
    <w:rsid w:val="003711B9"/>
    <w:rsid w:val="00383D73"/>
    <w:rsid w:val="00385307"/>
    <w:rsid w:val="00385840"/>
    <w:rsid w:val="003A1368"/>
    <w:rsid w:val="003A32E2"/>
    <w:rsid w:val="003A6094"/>
    <w:rsid w:val="003A76BF"/>
    <w:rsid w:val="003B1F78"/>
    <w:rsid w:val="003C2005"/>
    <w:rsid w:val="003C2374"/>
    <w:rsid w:val="003C23E5"/>
    <w:rsid w:val="003C3FF9"/>
    <w:rsid w:val="003C7657"/>
    <w:rsid w:val="003C799C"/>
    <w:rsid w:val="003D13C5"/>
    <w:rsid w:val="003D56CB"/>
    <w:rsid w:val="003D6469"/>
    <w:rsid w:val="003E4AB0"/>
    <w:rsid w:val="003E5358"/>
    <w:rsid w:val="003E63ED"/>
    <w:rsid w:val="00402ACB"/>
    <w:rsid w:val="00413C74"/>
    <w:rsid w:val="00416B7F"/>
    <w:rsid w:val="004217BD"/>
    <w:rsid w:val="00423B47"/>
    <w:rsid w:val="00431F3C"/>
    <w:rsid w:val="00436F99"/>
    <w:rsid w:val="0043713D"/>
    <w:rsid w:val="00445BA0"/>
    <w:rsid w:val="00446F82"/>
    <w:rsid w:val="004644CA"/>
    <w:rsid w:val="00464A08"/>
    <w:rsid w:val="0047148E"/>
    <w:rsid w:val="00480668"/>
    <w:rsid w:val="00481F40"/>
    <w:rsid w:val="00492F77"/>
    <w:rsid w:val="0049334E"/>
    <w:rsid w:val="004A05F0"/>
    <w:rsid w:val="004A07D6"/>
    <w:rsid w:val="004A34A1"/>
    <w:rsid w:val="004A53B8"/>
    <w:rsid w:val="004A7109"/>
    <w:rsid w:val="004B1C2E"/>
    <w:rsid w:val="004B49C3"/>
    <w:rsid w:val="004B54A1"/>
    <w:rsid w:val="004C52DF"/>
    <w:rsid w:val="004C6005"/>
    <w:rsid w:val="004D5EB9"/>
    <w:rsid w:val="004D7CC0"/>
    <w:rsid w:val="004E311F"/>
    <w:rsid w:val="004E396B"/>
    <w:rsid w:val="004E5387"/>
    <w:rsid w:val="004E7CDC"/>
    <w:rsid w:val="004F7A91"/>
    <w:rsid w:val="0050152D"/>
    <w:rsid w:val="00510B8D"/>
    <w:rsid w:val="0051261A"/>
    <w:rsid w:val="00512EBF"/>
    <w:rsid w:val="00517F66"/>
    <w:rsid w:val="00522E5C"/>
    <w:rsid w:val="00526F93"/>
    <w:rsid w:val="00527677"/>
    <w:rsid w:val="0053689F"/>
    <w:rsid w:val="00540E23"/>
    <w:rsid w:val="00541E8A"/>
    <w:rsid w:val="00546FE6"/>
    <w:rsid w:val="00547F4A"/>
    <w:rsid w:val="005567E5"/>
    <w:rsid w:val="005621C1"/>
    <w:rsid w:val="00562883"/>
    <w:rsid w:val="00566F26"/>
    <w:rsid w:val="005671E0"/>
    <w:rsid w:val="00570F3A"/>
    <w:rsid w:val="00573EF7"/>
    <w:rsid w:val="005748EC"/>
    <w:rsid w:val="00576E60"/>
    <w:rsid w:val="00580A17"/>
    <w:rsid w:val="00581009"/>
    <w:rsid w:val="005827AB"/>
    <w:rsid w:val="00586042"/>
    <w:rsid w:val="00590880"/>
    <w:rsid w:val="0059529B"/>
    <w:rsid w:val="0059561A"/>
    <w:rsid w:val="005A239E"/>
    <w:rsid w:val="005A48F1"/>
    <w:rsid w:val="005A7867"/>
    <w:rsid w:val="005B2072"/>
    <w:rsid w:val="005C7B5F"/>
    <w:rsid w:val="005D1945"/>
    <w:rsid w:val="005D2627"/>
    <w:rsid w:val="005E36D3"/>
    <w:rsid w:val="005E5C10"/>
    <w:rsid w:val="005E7179"/>
    <w:rsid w:val="005F1441"/>
    <w:rsid w:val="005F2B24"/>
    <w:rsid w:val="005F54C1"/>
    <w:rsid w:val="005F6BC8"/>
    <w:rsid w:val="0060600E"/>
    <w:rsid w:val="00620502"/>
    <w:rsid w:val="006252ED"/>
    <w:rsid w:val="00626E01"/>
    <w:rsid w:val="00630CAE"/>
    <w:rsid w:val="00634980"/>
    <w:rsid w:val="00634E19"/>
    <w:rsid w:val="0064227B"/>
    <w:rsid w:val="0064397F"/>
    <w:rsid w:val="006441DE"/>
    <w:rsid w:val="00647476"/>
    <w:rsid w:val="00651BB5"/>
    <w:rsid w:val="00657207"/>
    <w:rsid w:val="0065724F"/>
    <w:rsid w:val="0065769A"/>
    <w:rsid w:val="00661E47"/>
    <w:rsid w:val="0066332B"/>
    <w:rsid w:val="006633E9"/>
    <w:rsid w:val="006668EF"/>
    <w:rsid w:val="00666AEB"/>
    <w:rsid w:val="00666BC5"/>
    <w:rsid w:val="00672812"/>
    <w:rsid w:val="00675C22"/>
    <w:rsid w:val="00683836"/>
    <w:rsid w:val="00685687"/>
    <w:rsid w:val="00690A07"/>
    <w:rsid w:val="006931B3"/>
    <w:rsid w:val="006A06C5"/>
    <w:rsid w:val="006A0A53"/>
    <w:rsid w:val="006A4265"/>
    <w:rsid w:val="006A4738"/>
    <w:rsid w:val="006A483C"/>
    <w:rsid w:val="006A60D4"/>
    <w:rsid w:val="006B0C89"/>
    <w:rsid w:val="006C1436"/>
    <w:rsid w:val="006C19CD"/>
    <w:rsid w:val="006C3292"/>
    <w:rsid w:val="006C3969"/>
    <w:rsid w:val="006D5BB2"/>
    <w:rsid w:val="006E78AF"/>
    <w:rsid w:val="006F2A33"/>
    <w:rsid w:val="006F36C0"/>
    <w:rsid w:val="006F4595"/>
    <w:rsid w:val="006F4683"/>
    <w:rsid w:val="006F6C1C"/>
    <w:rsid w:val="007007A3"/>
    <w:rsid w:val="0070405B"/>
    <w:rsid w:val="00705F33"/>
    <w:rsid w:val="00710226"/>
    <w:rsid w:val="0071069C"/>
    <w:rsid w:val="00714644"/>
    <w:rsid w:val="00714E88"/>
    <w:rsid w:val="00715B0B"/>
    <w:rsid w:val="0072307F"/>
    <w:rsid w:val="00725BFB"/>
    <w:rsid w:val="0072782D"/>
    <w:rsid w:val="00731424"/>
    <w:rsid w:val="0073364B"/>
    <w:rsid w:val="0074181F"/>
    <w:rsid w:val="0074298B"/>
    <w:rsid w:val="00747459"/>
    <w:rsid w:val="00747C52"/>
    <w:rsid w:val="0075010A"/>
    <w:rsid w:val="00765001"/>
    <w:rsid w:val="00766391"/>
    <w:rsid w:val="0077017E"/>
    <w:rsid w:val="007745EB"/>
    <w:rsid w:val="00777DF5"/>
    <w:rsid w:val="007843E6"/>
    <w:rsid w:val="00784A2D"/>
    <w:rsid w:val="0079333E"/>
    <w:rsid w:val="00793F61"/>
    <w:rsid w:val="00797FBE"/>
    <w:rsid w:val="007A5934"/>
    <w:rsid w:val="007A7EA3"/>
    <w:rsid w:val="007B33DF"/>
    <w:rsid w:val="007B543C"/>
    <w:rsid w:val="007B58D7"/>
    <w:rsid w:val="007C1612"/>
    <w:rsid w:val="007C1DE2"/>
    <w:rsid w:val="007D0C13"/>
    <w:rsid w:val="007E22BF"/>
    <w:rsid w:val="007E3998"/>
    <w:rsid w:val="007E5822"/>
    <w:rsid w:val="007E66F1"/>
    <w:rsid w:val="007E7F32"/>
    <w:rsid w:val="007F1345"/>
    <w:rsid w:val="007F234F"/>
    <w:rsid w:val="007F28CE"/>
    <w:rsid w:val="007F2DB3"/>
    <w:rsid w:val="007F3D08"/>
    <w:rsid w:val="007F4C47"/>
    <w:rsid w:val="007F5DE2"/>
    <w:rsid w:val="007F6402"/>
    <w:rsid w:val="00810A2D"/>
    <w:rsid w:val="008159F3"/>
    <w:rsid w:val="008234D2"/>
    <w:rsid w:val="00826D1E"/>
    <w:rsid w:val="00827B3B"/>
    <w:rsid w:val="00831D12"/>
    <w:rsid w:val="0083280C"/>
    <w:rsid w:val="008330D3"/>
    <w:rsid w:val="00836C35"/>
    <w:rsid w:val="008410D3"/>
    <w:rsid w:val="00843174"/>
    <w:rsid w:val="0084619B"/>
    <w:rsid w:val="00846C9B"/>
    <w:rsid w:val="00850643"/>
    <w:rsid w:val="00853E9F"/>
    <w:rsid w:val="00857592"/>
    <w:rsid w:val="0087064B"/>
    <w:rsid w:val="00871045"/>
    <w:rsid w:val="008761DD"/>
    <w:rsid w:val="0088197D"/>
    <w:rsid w:val="00882BC2"/>
    <w:rsid w:val="008835B1"/>
    <w:rsid w:val="00897DFC"/>
    <w:rsid w:val="00897EED"/>
    <w:rsid w:val="008A2CE8"/>
    <w:rsid w:val="008A4D76"/>
    <w:rsid w:val="008A6530"/>
    <w:rsid w:val="008A7324"/>
    <w:rsid w:val="008B1575"/>
    <w:rsid w:val="008B2C32"/>
    <w:rsid w:val="008B341C"/>
    <w:rsid w:val="008B766C"/>
    <w:rsid w:val="008C3D35"/>
    <w:rsid w:val="008C5E58"/>
    <w:rsid w:val="008C7C38"/>
    <w:rsid w:val="008D3E25"/>
    <w:rsid w:val="008E1C9A"/>
    <w:rsid w:val="008E29B5"/>
    <w:rsid w:val="008E533C"/>
    <w:rsid w:val="008E7D43"/>
    <w:rsid w:val="008F4665"/>
    <w:rsid w:val="008F48ED"/>
    <w:rsid w:val="008F5B21"/>
    <w:rsid w:val="00904617"/>
    <w:rsid w:val="00907442"/>
    <w:rsid w:val="00907E8D"/>
    <w:rsid w:val="009105D4"/>
    <w:rsid w:val="00917AF8"/>
    <w:rsid w:val="00924A1F"/>
    <w:rsid w:val="00927013"/>
    <w:rsid w:val="00932B83"/>
    <w:rsid w:val="0093675B"/>
    <w:rsid w:val="009411FA"/>
    <w:rsid w:val="00951EC0"/>
    <w:rsid w:val="00955541"/>
    <w:rsid w:val="00956979"/>
    <w:rsid w:val="009601D0"/>
    <w:rsid w:val="00961684"/>
    <w:rsid w:val="0096228F"/>
    <w:rsid w:val="00967B9B"/>
    <w:rsid w:val="0097309C"/>
    <w:rsid w:val="00977D42"/>
    <w:rsid w:val="009805A7"/>
    <w:rsid w:val="00982448"/>
    <w:rsid w:val="009851B0"/>
    <w:rsid w:val="009859CC"/>
    <w:rsid w:val="00986E97"/>
    <w:rsid w:val="00987D19"/>
    <w:rsid w:val="0099357D"/>
    <w:rsid w:val="00994284"/>
    <w:rsid w:val="009A360B"/>
    <w:rsid w:val="009A6835"/>
    <w:rsid w:val="009A79C3"/>
    <w:rsid w:val="009B229E"/>
    <w:rsid w:val="009B3058"/>
    <w:rsid w:val="009B4835"/>
    <w:rsid w:val="009B63BE"/>
    <w:rsid w:val="009B7FEB"/>
    <w:rsid w:val="009C2010"/>
    <w:rsid w:val="009C32FE"/>
    <w:rsid w:val="009D22B8"/>
    <w:rsid w:val="009D3999"/>
    <w:rsid w:val="009D5B83"/>
    <w:rsid w:val="009D7253"/>
    <w:rsid w:val="009E18D2"/>
    <w:rsid w:val="009E269D"/>
    <w:rsid w:val="009F4456"/>
    <w:rsid w:val="009F6DB8"/>
    <w:rsid w:val="009F6E22"/>
    <w:rsid w:val="00A01C33"/>
    <w:rsid w:val="00A053FC"/>
    <w:rsid w:val="00A06224"/>
    <w:rsid w:val="00A0711D"/>
    <w:rsid w:val="00A1210E"/>
    <w:rsid w:val="00A1607B"/>
    <w:rsid w:val="00A22266"/>
    <w:rsid w:val="00A24355"/>
    <w:rsid w:val="00A331B7"/>
    <w:rsid w:val="00A33C57"/>
    <w:rsid w:val="00A344AD"/>
    <w:rsid w:val="00A34B4A"/>
    <w:rsid w:val="00A512FE"/>
    <w:rsid w:val="00A55D75"/>
    <w:rsid w:val="00A5707B"/>
    <w:rsid w:val="00A57F4D"/>
    <w:rsid w:val="00A60BC7"/>
    <w:rsid w:val="00A60FE0"/>
    <w:rsid w:val="00A612FF"/>
    <w:rsid w:val="00A61579"/>
    <w:rsid w:val="00A6556C"/>
    <w:rsid w:val="00A65D45"/>
    <w:rsid w:val="00A65F74"/>
    <w:rsid w:val="00A70793"/>
    <w:rsid w:val="00A752A6"/>
    <w:rsid w:val="00A76150"/>
    <w:rsid w:val="00A764F9"/>
    <w:rsid w:val="00A76B0A"/>
    <w:rsid w:val="00A80EE4"/>
    <w:rsid w:val="00A90B64"/>
    <w:rsid w:val="00A93401"/>
    <w:rsid w:val="00A94678"/>
    <w:rsid w:val="00A954BC"/>
    <w:rsid w:val="00AA19FD"/>
    <w:rsid w:val="00AA1D0B"/>
    <w:rsid w:val="00AA1DE5"/>
    <w:rsid w:val="00AA22F4"/>
    <w:rsid w:val="00AA7A1F"/>
    <w:rsid w:val="00AB5D18"/>
    <w:rsid w:val="00AB7062"/>
    <w:rsid w:val="00AC1A39"/>
    <w:rsid w:val="00AC1CB4"/>
    <w:rsid w:val="00AC3259"/>
    <w:rsid w:val="00AC70F1"/>
    <w:rsid w:val="00AC791E"/>
    <w:rsid w:val="00AD09DB"/>
    <w:rsid w:val="00AD1028"/>
    <w:rsid w:val="00AD2537"/>
    <w:rsid w:val="00AD2E49"/>
    <w:rsid w:val="00AD581D"/>
    <w:rsid w:val="00AD5DE9"/>
    <w:rsid w:val="00AE1CB5"/>
    <w:rsid w:val="00AE22AF"/>
    <w:rsid w:val="00AE2465"/>
    <w:rsid w:val="00AE6A08"/>
    <w:rsid w:val="00AE7418"/>
    <w:rsid w:val="00AE769F"/>
    <w:rsid w:val="00AF29F9"/>
    <w:rsid w:val="00AF3E7F"/>
    <w:rsid w:val="00B044C3"/>
    <w:rsid w:val="00B048AF"/>
    <w:rsid w:val="00B13BD1"/>
    <w:rsid w:val="00B13FE5"/>
    <w:rsid w:val="00B1746E"/>
    <w:rsid w:val="00B17826"/>
    <w:rsid w:val="00B20A50"/>
    <w:rsid w:val="00B21C2D"/>
    <w:rsid w:val="00B22DE2"/>
    <w:rsid w:val="00B33FE2"/>
    <w:rsid w:val="00B35C56"/>
    <w:rsid w:val="00B40C6B"/>
    <w:rsid w:val="00B4127A"/>
    <w:rsid w:val="00B43CD7"/>
    <w:rsid w:val="00B45C05"/>
    <w:rsid w:val="00B46FD6"/>
    <w:rsid w:val="00B535A6"/>
    <w:rsid w:val="00B603EF"/>
    <w:rsid w:val="00B63279"/>
    <w:rsid w:val="00B64FCD"/>
    <w:rsid w:val="00B6691D"/>
    <w:rsid w:val="00B70426"/>
    <w:rsid w:val="00B7498A"/>
    <w:rsid w:val="00B827E0"/>
    <w:rsid w:val="00B83356"/>
    <w:rsid w:val="00B87A05"/>
    <w:rsid w:val="00B91A3B"/>
    <w:rsid w:val="00B93E94"/>
    <w:rsid w:val="00B94629"/>
    <w:rsid w:val="00B9707D"/>
    <w:rsid w:val="00B97A2C"/>
    <w:rsid w:val="00BA59BE"/>
    <w:rsid w:val="00BB0581"/>
    <w:rsid w:val="00BB09E4"/>
    <w:rsid w:val="00BB0D8A"/>
    <w:rsid w:val="00BB347C"/>
    <w:rsid w:val="00BB3855"/>
    <w:rsid w:val="00BB4AE4"/>
    <w:rsid w:val="00BB70B7"/>
    <w:rsid w:val="00BB7D55"/>
    <w:rsid w:val="00BC3584"/>
    <w:rsid w:val="00BD73B8"/>
    <w:rsid w:val="00BE2704"/>
    <w:rsid w:val="00BE3302"/>
    <w:rsid w:val="00BE5308"/>
    <w:rsid w:val="00BE61EC"/>
    <w:rsid w:val="00C000A8"/>
    <w:rsid w:val="00C00D6D"/>
    <w:rsid w:val="00C040CB"/>
    <w:rsid w:val="00C04CF2"/>
    <w:rsid w:val="00C07864"/>
    <w:rsid w:val="00C11E22"/>
    <w:rsid w:val="00C235F2"/>
    <w:rsid w:val="00C27D7A"/>
    <w:rsid w:val="00C30A71"/>
    <w:rsid w:val="00C430C5"/>
    <w:rsid w:val="00C441CC"/>
    <w:rsid w:val="00C45225"/>
    <w:rsid w:val="00C476AD"/>
    <w:rsid w:val="00C47B94"/>
    <w:rsid w:val="00C47EEA"/>
    <w:rsid w:val="00C51ECC"/>
    <w:rsid w:val="00C56931"/>
    <w:rsid w:val="00C57407"/>
    <w:rsid w:val="00C621F0"/>
    <w:rsid w:val="00C62946"/>
    <w:rsid w:val="00C703CB"/>
    <w:rsid w:val="00C70FFA"/>
    <w:rsid w:val="00C75E9B"/>
    <w:rsid w:val="00C769F2"/>
    <w:rsid w:val="00C77876"/>
    <w:rsid w:val="00C81975"/>
    <w:rsid w:val="00C81E71"/>
    <w:rsid w:val="00C9080C"/>
    <w:rsid w:val="00C957BA"/>
    <w:rsid w:val="00C96567"/>
    <w:rsid w:val="00CA5426"/>
    <w:rsid w:val="00CB00C2"/>
    <w:rsid w:val="00CB3385"/>
    <w:rsid w:val="00CB51C3"/>
    <w:rsid w:val="00CB77E2"/>
    <w:rsid w:val="00CC1B61"/>
    <w:rsid w:val="00CC660B"/>
    <w:rsid w:val="00CD23D4"/>
    <w:rsid w:val="00CD7656"/>
    <w:rsid w:val="00CE3179"/>
    <w:rsid w:val="00CE3C6E"/>
    <w:rsid w:val="00CE58E0"/>
    <w:rsid w:val="00CE6FCE"/>
    <w:rsid w:val="00CF0DBF"/>
    <w:rsid w:val="00CF408F"/>
    <w:rsid w:val="00D00F5B"/>
    <w:rsid w:val="00D01E1E"/>
    <w:rsid w:val="00D021A6"/>
    <w:rsid w:val="00D0705F"/>
    <w:rsid w:val="00D075E0"/>
    <w:rsid w:val="00D107A3"/>
    <w:rsid w:val="00D131EC"/>
    <w:rsid w:val="00D2250D"/>
    <w:rsid w:val="00D229F7"/>
    <w:rsid w:val="00D22BF2"/>
    <w:rsid w:val="00D30C78"/>
    <w:rsid w:val="00D34B95"/>
    <w:rsid w:val="00D34CA6"/>
    <w:rsid w:val="00D36EA0"/>
    <w:rsid w:val="00D43EBA"/>
    <w:rsid w:val="00D457F6"/>
    <w:rsid w:val="00D461FB"/>
    <w:rsid w:val="00D506E4"/>
    <w:rsid w:val="00D50A5C"/>
    <w:rsid w:val="00D53690"/>
    <w:rsid w:val="00D53BD9"/>
    <w:rsid w:val="00D55B03"/>
    <w:rsid w:val="00D61F5D"/>
    <w:rsid w:val="00D65564"/>
    <w:rsid w:val="00D65F2C"/>
    <w:rsid w:val="00D66091"/>
    <w:rsid w:val="00D71BEE"/>
    <w:rsid w:val="00D756D3"/>
    <w:rsid w:val="00D81422"/>
    <w:rsid w:val="00D82973"/>
    <w:rsid w:val="00D84E44"/>
    <w:rsid w:val="00D86B71"/>
    <w:rsid w:val="00D87933"/>
    <w:rsid w:val="00D90283"/>
    <w:rsid w:val="00D90D7C"/>
    <w:rsid w:val="00D923B0"/>
    <w:rsid w:val="00D958D3"/>
    <w:rsid w:val="00D95BD3"/>
    <w:rsid w:val="00D95C3F"/>
    <w:rsid w:val="00DA05B3"/>
    <w:rsid w:val="00DA3D1A"/>
    <w:rsid w:val="00DA3E5A"/>
    <w:rsid w:val="00DA4545"/>
    <w:rsid w:val="00DA7E92"/>
    <w:rsid w:val="00DB02DE"/>
    <w:rsid w:val="00DC4441"/>
    <w:rsid w:val="00DE2545"/>
    <w:rsid w:val="00DE585C"/>
    <w:rsid w:val="00DE6443"/>
    <w:rsid w:val="00DE6AAA"/>
    <w:rsid w:val="00DF73B0"/>
    <w:rsid w:val="00E038B6"/>
    <w:rsid w:val="00E21035"/>
    <w:rsid w:val="00E2250A"/>
    <w:rsid w:val="00E2258E"/>
    <w:rsid w:val="00E235C2"/>
    <w:rsid w:val="00E30FB5"/>
    <w:rsid w:val="00E311D7"/>
    <w:rsid w:val="00E35183"/>
    <w:rsid w:val="00E3524A"/>
    <w:rsid w:val="00E367D6"/>
    <w:rsid w:val="00E46C3B"/>
    <w:rsid w:val="00E528C0"/>
    <w:rsid w:val="00E62417"/>
    <w:rsid w:val="00E6323A"/>
    <w:rsid w:val="00E6484F"/>
    <w:rsid w:val="00E65467"/>
    <w:rsid w:val="00E65562"/>
    <w:rsid w:val="00E66CED"/>
    <w:rsid w:val="00E728A9"/>
    <w:rsid w:val="00E73AE0"/>
    <w:rsid w:val="00E77006"/>
    <w:rsid w:val="00E9122E"/>
    <w:rsid w:val="00E91E73"/>
    <w:rsid w:val="00E94767"/>
    <w:rsid w:val="00EB223C"/>
    <w:rsid w:val="00EC0D16"/>
    <w:rsid w:val="00EC2616"/>
    <w:rsid w:val="00EC4332"/>
    <w:rsid w:val="00EC444D"/>
    <w:rsid w:val="00ED0515"/>
    <w:rsid w:val="00EE0AAB"/>
    <w:rsid w:val="00EE7A7C"/>
    <w:rsid w:val="00EF1C19"/>
    <w:rsid w:val="00EF2B6E"/>
    <w:rsid w:val="00F00291"/>
    <w:rsid w:val="00F014C9"/>
    <w:rsid w:val="00F059BA"/>
    <w:rsid w:val="00F13894"/>
    <w:rsid w:val="00F14097"/>
    <w:rsid w:val="00F21572"/>
    <w:rsid w:val="00F21CB7"/>
    <w:rsid w:val="00F228FD"/>
    <w:rsid w:val="00F3086D"/>
    <w:rsid w:val="00F30AB9"/>
    <w:rsid w:val="00F42CB2"/>
    <w:rsid w:val="00F4493B"/>
    <w:rsid w:val="00F610BA"/>
    <w:rsid w:val="00F6166A"/>
    <w:rsid w:val="00F75E1A"/>
    <w:rsid w:val="00F77A25"/>
    <w:rsid w:val="00F801A4"/>
    <w:rsid w:val="00F844FC"/>
    <w:rsid w:val="00F84C33"/>
    <w:rsid w:val="00F865E8"/>
    <w:rsid w:val="00F87283"/>
    <w:rsid w:val="00F91DB1"/>
    <w:rsid w:val="00F923BE"/>
    <w:rsid w:val="00F92B8A"/>
    <w:rsid w:val="00F96BAC"/>
    <w:rsid w:val="00FA5E36"/>
    <w:rsid w:val="00FA6091"/>
    <w:rsid w:val="00FA741F"/>
    <w:rsid w:val="00FB0458"/>
    <w:rsid w:val="00FB1F47"/>
    <w:rsid w:val="00FB5E70"/>
    <w:rsid w:val="00FC2128"/>
    <w:rsid w:val="00FD09DD"/>
    <w:rsid w:val="00FD14DB"/>
    <w:rsid w:val="00FD1DCC"/>
    <w:rsid w:val="00FD2B0D"/>
    <w:rsid w:val="00FD61D1"/>
    <w:rsid w:val="00FD678C"/>
    <w:rsid w:val="00FE7E11"/>
    <w:rsid w:val="00FF6002"/>
    <w:rsid w:val="08FA1885"/>
    <w:rsid w:val="0F825C2F"/>
    <w:rsid w:val="1A4D5D01"/>
    <w:rsid w:val="1FE27D8D"/>
    <w:rsid w:val="21B57EB3"/>
    <w:rsid w:val="35D94C6B"/>
    <w:rsid w:val="3EB44A38"/>
    <w:rsid w:val="49B30F3C"/>
    <w:rsid w:val="50AC4698"/>
    <w:rsid w:val="54C53D7A"/>
    <w:rsid w:val="65341598"/>
    <w:rsid w:val="66965C3A"/>
    <w:rsid w:val="6C6A468F"/>
    <w:rsid w:val="6E48015A"/>
    <w:rsid w:val="6ED808E5"/>
    <w:rsid w:val="7707473F"/>
    <w:rsid w:val="770C0643"/>
    <w:rsid w:val="79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Plain Table 3"/>
    <w:basedOn w:val="4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8">
    <w:name w:val="Plain Table 4"/>
    <w:basedOn w:val="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</w:style>
  <w:style w:type="table" w:customStyle="1" w:styleId="9">
    <w:name w:val="List Table 1 Light"/>
    <w:basedOn w:val="4"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">
    <w:name w:val="Grid Table 1 Light Accent 3"/>
    <w:basedOn w:val="4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Grid Table 5 Dark Accent 3"/>
    <w:basedOn w:val="4"/>
    <w:qFormat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12">
    <w:name w:val="Grid Table 2 Accent 3"/>
    <w:basedOn w:val="4"/>
    <w:qFormat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595</Words>
  <Characters>3395</Characters>
  <Lines>28</Lines>
  <Paragraphs>7</Paragraphs>
  <TotalTime>0</TotalTime>
  <ScaleCrop>false</ScaleCrop>
  <LinksUpToDate>false</LinksUpToDate>
  <CharactersWithSpaces>3983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2019-12-16T05:52:00Z</dcterms:created>
  <dc:creator>蒋志强</dc:creator>
  <cp:lastModifiedBy>匿名用户</cp:lastModifiedBy>
  <dcterms:modified xsi:type="dcterms:W3CDTF">2021-01-25T05:44:15Z</dcterms:modified>
  <dc:title>余姚市自然资源和规划局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