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bookmarkStart w:id="0" w:name="_GoBack"/>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w:t>
      </w:r>
      <w:bookmarkEnd w:id="0"/>
      <w:r>
        <w:rPr>
          <w:rFonts w:hint="eastAsia" w:ascii="黑体" w:hAnsi="黑体" w:eastAsia="黑体" w:cstheme="minorBidi"/>
          <w:sz w:val="44"/>
          <w:szCs w:val="44"/>
        </w:rPr>
        <w:t>（</w:t>
      </w:r>
      <w:r>
        <w:rPr>
          <w:rFonts w:hint="eastAsia" w:ascii="黑体" w:hAnsi="黑体" w:eastAsia="黑体" w:cstheme="minorBidi"/>
          <w:sz w:val="44"/>
          <w:szCs w:val="44"/>
          <w:lang w:eastAsia="zh-CN"/>
        </w:rPr>
        <w:t>四明山镇人民政府</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62341090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62340234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62340234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62341090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62340028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62340234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62340234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62340234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0FC67730"/>
    <w:rsid w:val="1A2436E8"/>
    <w:rsid w:val="1A2A1ED1"/>
    <w:rsid w:val="27AF6650"/>
    <w:rsid w:val="289F00EA"/>
    <w:rsid w:val="2D141439"/>
    <w:rsid w:val="2D786B5B"/>
    <w:rsid w:val="3016196F"/>
    <w:rsid w:val="31F1551C"/>
    <w:rsid w:val="33E51343"/>
    <w:rsid w:val="37AB6FA3"/>
    <w:rsid w:val="3C01416B"/>
    <w:rsid w:val="3D4A6983"/>
    <w:rsid w:val="455A75DA"/>
    <w:rsid w:val="4F64083F"/>
    <w:rsid w:val="559B2A02"/>
    <w:rsid w:val="571E2E47"/>
    <w:rsid w:val="5B72604B"/>
    <w:rsid w:val="66AB6A1D"/>
    <w:rsid w:val="681E6459"/>
    <w:rsid w:val="69C8082E"/>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16</TotalTime>
  <ScaleCrop>false</ScaleCrop>
  <LinksUpToDate>false</LinksUpToDate>
  <CharactersWithSpaces>3986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sandrone</cp:lastModifiedBy>
  <dcterms:modified xsi:type="dcterms:W3CDTF">2019-09-06T06:07:15Z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