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1" w:tblpY="2818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40"/>
        <w:gridCol w:w="1551"/>
        <w:gridCol w:w="1417"/>
        <w:gridCol w:w="1417"/>
        <w:gridCol w:w="1600"/>
        <w:gridCol w:w="1235"/>
        <w:gridCol w:w="1555"/>
        <w:gridCol w:w="141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小区名称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所属乡镇街道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业主单位</w:t>
            </w:r>
          </w:p>
        </w:tc>
        <w:tc>
          <w:tcPr>
            <w:tcW w:w="301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剩余房源（截止2019年10月）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安置率（%）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建成时间（年）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建成年份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60" w:type="dxa"/>
            <w:vMerge w:val="continue"/>
          </w:tcPr>
          <w:p>
            <w:pPr>
              <w:jc w:val="center"/>
            </w:pPr>
          </w:p>
        </w:tc>
        <w:tc>
          <w:tcPr>
            <w:tcW w:w="1940" w:type="dxa"/>
            <w:vMerge w:val="continue"/>
          </w:tcPr>
          <w:p>
            <w:pPr>
              <w:jc w:val="center"/>
            </w:pPr>
          </w:p>
        </w:tc>
        <w:tc>
          <w:tcPr>
            <w:tcW w:w="1551" w:type="dxa"/>
            <w:vMerge w:val="continue"/>
          </w:tcPr>
          <w:p>
            <w:pPr>
              <w:jc w:val="center"/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套数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面积（平方米）</w:t>
            </w:r>
          </w:p>
        </w:tc>
        <w:tc>
          <w:tcPr>
            <w:tcW w:w="1235" w:type="dxa"/>
            <w:vMerge w:val="continue"/>
          </w:tcPr>
          <w:p>
            <w:pPr>
              <w:jc w:val="center"/>
            </w:pPr>
          </w:p>
        </w:tc>
        <w:tc>
          <w:tcPr>
            <w:tcW w:w="1555" w:type="dxa"/>
            <w:vMerge w:val="continue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</w:tcPr>
          <w:p>
            <w:pPr>
              <w:jc w:val="center"/>
            </w:pPr>
          </w:p>
        </w:tc>
        <w:tc>
          <w:tcPr>
            <w:tcW w:w="1289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佳汇景苑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兰江街道</w:t>
            </w: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926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2004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黄山公寓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2921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2010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云瑞佳苑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梨洲街道</w:t>
            </w: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5887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6或4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2013、2015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康宁新居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905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2013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白</w:t>
            </w:r>
            <w:r>
              <w:rPr>
                <w:rFonts w:hint="eastAsia"/>
                <w:vertAlign w:val="baseline"/>
                <w:lang w:eastAsia="zh-CN"/>
              </w:rPr>
              <w:t>鹂</w:t>
            </w:r>
            <w:r>
              <w:rPr>
                <w:rFonts w:hint="eastAsia"/>
                <w:vertAlign w:val="baseline"/>
              </w:rPr>
              <w:t>江景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5874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4或3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2015、2016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晨光家园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凤山街道</w:t>
            </w: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1839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7或6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2012、2013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94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锦湖华庭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3096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2012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940" w:type="dxa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胡公岩小区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阳明街道</w:t>
            </w: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367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2002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940" w:type="dxa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丰南公寓二期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宁波舜建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862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2009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color w:val="0000FF"/>
                <w:vertAlign w:val="baseline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22677</w:t>
            </w:r>
          </w:p>
        </w:tc>
        <w:tc>
          <w:tcPr>
            <w:tcW w:w="123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附表1：</w:t>
      </w:r>
    </w:p>
    <w:p>
      <w:pPr>
        <w:jc w:val="both"/>
        <w:rPr>
          <w:rFonts w:hint="eastAsia"/>
          <w:sz w:val="36"/>
          <w:szCs w:val="36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sz w:val="36"/>
          <w:szCs w:val="36"/>
          <w:lang w:val="en-US" w:eastAsia="zh-CN"/>
        </w:rPr>
        <w:t xml:space="preserve">                            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2019年零星存量安置房情况表（住宅）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2019-12-20T05:37:04Z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